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98D50" Type="http://schemas.openxmlformats.org/officeDocument/2006/relationships/officeDocument" Target="/word/document.xml" /><Relationship Id="coreR7ED98D50" Type="http://schemas.openxmlformats.org/package/2006/relationships/metadata/core-properties" Target="/docProps/core.xml" /><Relationship Id="customR7ED98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stěn a stropních podhledů, 11.6.2026 10:09:59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11.6.2026 10:09:59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11.6.2026 10:09:59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11.6.2026 10:09:59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 suchých stěn a stropních podhledů, 11.6.2026 10:09:59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11.6.2026 10:09:59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stěn a stropních podhledů, 11.6.2026 10:09:59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stěn a stropních podhledů, 11.6.2026 10:09:59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 suchých stěn a stropních podhledů, 11.6.2026 10:09:59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stěn a stropních podhledů, 11.6.2026 10:09:59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70A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