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C48C4" Type="http://schemas.openxmlformats.org/officeDocument/2006/relationships/officeDocument" Target="/word/document.xml" /><Relationship Id="coreR75C48C4" Type="http://schemas.openxmlformats.org/package/2006/relationships/metadata/core-properties" Target="/docProps/core.xml" /><Relationship Id="customR75C48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Ovládání úpravny bazénové vody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Popsat provozní schéma úpravny bazénové vody</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Písemné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Popsat systém a postup filtrace</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Písemné a ústní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Písemné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Vysvětlit osazení průtokoměru</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Předvést manipulaci s filtračním zařízením (popsat režimy praní filtru)</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g) Popsat systém měřící, dávkovací a regulační stanice včetně zapojení do recirkulačního okruhu</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a ústní ověření</w:t>
      </w:r>
    </w:p>
    <w:p>
      <w:pPr>
        <w:pStyle w:val="P16"/>
        <w:framePr w:w="6710" w:h="376" w:hRule="exact" w:wrap="none" w:vAnchor="page" w:hAnchor="margin" w:x="45" w:y="10790"/>
        <w:rPr>
          <w:rStyle w:val="C3"/>
          <w:rtl w:val="0"/>
        </w:rPr>
      </w:pPr>
    </w:p>
    <w:p>
      <w:pPr>
        <w:pStyle w:val="P17"/>
        <w:framePr w:w="6658" w:h="249" w:hRule="exact" w:wrap="none" w:vAnchor="page" w:hAnchor="margin" w:x="71" w:y="10846"/>
        <w:rPr>
          <w:rStyle w:val="C13"/>
          <w:rtl w:val="0"/>
        </w:rPr>
      </w:pPr>
      <w:r>
        <w:rPr>
          <w:rStyle w:val="C13"/>
          <w:rtl w:val="0"/>
        </w:rPr>
        <w:t>h) Vysvětlit postup zapnutí úpravny vody</w:t>
      </w:r>
    </w:p>
    <w:p>
      <w:pPr>
        <w:pStyle w:val="P30"/>
        <w:framePr w:w="3921" w:h="376" w:hRule="exact" w:wrap="none" w:vAnchor="page" w:hAnchor="margin" w:x="6800" w:y="10790"/>
        <w:rPr>
          <w:rStyle w:val="C3"/>
          <w:rtl w:val="0"/>
        </w:rPr>
      </w:pPr>
    </w:p>
    <w:p>
      <w:pPr>
        <w:pStyle w:val="P31"/>
        <w:framePr w:w="3839" w:h="249" w:hRule="exact" w:wrap="none" w:vAnchor="page" w:hAnchor="margin" w:x="6856" w:y="10846"/>
        <w:rPr>
          <w:rStyle w:val="C22"/>
          <w:rtl w:val="0"/>
        </w:rPr>
      </w:pPr>
      <w:r>
        <w:rPr>
          <w:rStyle w:val="C22"/>
          <w:rtl w:val="0"/>
        </w:rPr>
        <w:t>Ústní ověření</w:t>
      </w:r>
    </w:p>
    <w:p>
      <w:pPr>
        <w:pStyle w:val="P12"/>
        <w:framePr w:w="6710" w:h="376" w:hRule="exact" w:wrap="none" w:vAnchor="page" w:hAnchor="margin" w:x="45" w:y="11167"/>
        <w:rPr>
          <w:rStyle w:val="C3"/>
          <w:rtl w:val="0"/>
        </w:rPr>
      </w:pPr>
    </w:p>
    <w:p>
      <w:pPr>
        <w:pStyle w:val="P13"/>
        <w:framePr w:w="6658" w:h="249" w:hRule="exact" w:wrap="none" w:vAnchor="page" w:hAnchor="margin" w:x="71" w:y="11223"/>
        <w:rPr>
          <w:rStyle w:val="C11"/>
          <w:rtl w:val="0"/>
        </w:rPr>
      </w:pPr>
      <w:r>
        <w:rPr>
          <w:rStyle w:val="C11"/>
          <w:rtl w:val="0"/>
        </w:rPr>
        <w:t>i) Vysvětlit možné způsoby ohřevu bazénové vody</w:t>
      </w:r>
    </w:p>
    <w:p>
      <w:pPr>
        <w:pStyle w:val="P28"/>
        <w:framePr w:w="3921" w:h="376" w:hRule="exact" w:wrap="none" w:vAnchor="page" w:hAnchor="margin" w:x="6800" w:y="11167"/>
        <w:rPr>
          <w:rStyle w:val="C3"/>
          <w:rtl w:val="0"/>
        </w:rPr>
      </w:pPr>
    </w:p>
    <w:p>
      <w:pPr>
        <w:pStyle w:val="P29"/>
        <w:framePr w:w="3839" w:h="249" w:hRule="exact" w:wrap="none" w:vAnchor="page" w:hAnchor="margin" w:x="6856" w:y="11223"/>
        <w:rPr>
          <w:rStyle w:val="C21"/>
          <w:rtl w:val="0"/>
        </w:rPr>
      </w:pPr>
      <w:r>
        <w:rPr>
          <w:rStyle w:val="C21"/>
          <w:rtl w:val="0"/>
        </w:rPr>
        <w:t>Ústní ověření</w:t>
      </w:r>
    </w:p>
    <w:p>
      <w:pPr>
        <w:pStyle w:val="P16"/>
        <w:framePr w:w="6710" w:h="607" w:hRule="exact" w:wrap="none" w:vAnchor="page" w:hAnchor="margin" w:x="45" w:y="11543"/>
        <w:rPr>
          <w:rStyle w:val="C3"/>
          <w:rtl w:val="0"/>
        </w:rPr>
      </w:pPr>
    </w:p>
    <w:p>
      <w:pPr>
        <w:pStyle w:val="P17"/>
        <w:framePr w:w="6658" w:h="480" w:hRule="exact" w:wrap="none" w:vAnchor="page" w:hAnchor="margin" w:x="71" w:y="11599"/>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1543"/>
        <w:rPr>
          <w:rStyle w:val="C3"/>
          <w:rtl w:val="0"/>
        </w:rPr>
      </w:pPr>
    </w:p>
    <w:p>
      <w:pPr>
        <w:pStyle w:val="P31"/>
        <w:framePr w:w="3839" w:h="480" w:hRule="exact" w:wrap="none" w:vAnchor="page" w:hAnchor="margin" w:x="6856" w:y="11599"/>
        <w:rPr>
          <w:rStyle w:val="C22"/>
          <w:rtl w:val="0"/>
        </w:rPr>
      </w:pPr>
      <w:r>
        <w:rPr>
          <w:rStyle w:val="C22"/>
          <w:rtl w:val="0"/>
        </w:rPr>
        <w:t>Ústní ověření</w:t>
      </w:r>
    </w:p>
    <w:p>
      <w:pPr>
        <w:pStyle w:val="P32"/>
        <w:framePr w:w="10710" w:h="248" w:hRule="exact" w:wrap="none" w:vAnchor="page" w:hAnchor="margin" w:x="28" w:y="12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používané v bazénovém provozu podle pracovních náplní zaměstnanců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Dodržování hygieny provozu přírodního a umělého koupaliště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Vysvětlit obsah provozního řádu a uvést, kdy je nutné jej aktualizovat a komu ho předat ke schválení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Vysvětlit obsah návštěvního řádu a uvést, kde je umístěn</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metodiku odběru vzorků vody z bazénu</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Popsat dezinfekční režim šaten, sprch a okolí bazénu (úklidový řád)</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Popsat obsah provozního deníku</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f) Vyjmenovat povinné hodnoty a údaje, které musí být přístupné veřejnosti</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12"/>
        <w:framePr w:w="6710" w:h="376" w:hRule="exact" w:wrap="none" w:vAnchor="page" w:hAnchor="margin" w:x="45" w:y="10688"/>
        <w:rPr>
          <w:rStyle w:val="C3"/>
          <w:rtl w:val="0"/>
        </w:rPr>
      </w:pPr>
    </w:p>
    <w:p>
      <w:pPr>
        <w:pStyle w:val="P13"/>
        <w:framePr w:w="6658" w:h="249" w:hRule="exact" w:wrap="none" w:vAnchor="page" w:hAnchor="margin" w:x="71" w:y="10744"/>
        <w:rPr>
          <w:rStyle w:val="C11"/>
          <w:rtl w:val="0"/>
        </w:rPr>
      </w:pPr>
      <w:r>
        <w:rPr>
          <w:rStyle w:val="C11"/>
          <w:rtl w:val="0"/>
        </w:rPr>
        <w:t>g) Uvést, kdo je oprávněn provádět odběry a rozbory vzorků bazénových vod</w:t>
      </w:r>
    </w:p>
    <w:p>
      <w:pPr>
        <w:pStyle w:val="P28"/>
        <w:framePr w:w="3921" w:h="376" w:hRule="exact" w:wrap="none" w:vAnchor="page" w:hAnchor="margin" w:x="6800" w:y="10688"/>
        <w:rPr>
          <w:rStyle w:val="C3"/>
          <w:rtl w:val="0"/>
        </w:rPr>
      </w:pPr>
    </w:p>
    <w:p>
      <w:pPr>
        <w:pStyle w:val="P29"/>
        <w:framePr w:w="3839" w:h="249"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064"/>
        <w:rPr>
          <w:rStyle w:val="C3"/>
          <w:rtl w:val="0"/>
        </w:rPr>
      </w:pPr>
    </w:p>
    <w:p>
      <w:pPr>
        <w:pStyle w:val="P17"/>
        <w:framePr w:w="6658" w:h="249" w:hRule="exact" w:wrap="none" w:vAnchor="page" w:hAnchor="margin" w:x="71" w:y="11120"/>
        <w:rPr>
          <w:rStyle w:val="C13"/>
          <w:rtl w:val="0"/>
        </w:rPr>
      </w:pPr>
      <w:r>
        <w:rPr>
          <w:rStyle w:val="C13"/>
          <w:rtl w:val="0"/>
        </w:rPr>
        <w:t>h) Uvést četnost odběrů vzorků bazénových vod k provedení rozborů</w:t>
      </w:r>
    </w:p>
    <w:p>
      <w:pPr>
        <w:pStyle w:val="P30"/>
        <w:framePr w:w="3921" w:h="376" w:hRule="exact" w:wrap="none" w:vAnchor="page" w:hAnchor="margin" w:x="6800" w:y="11064"/>
        <w:rPr>
          <w:rStyle w:val="C3"/>
          <w:rtl w:val="0"/>
        </w:rPr>
      </w:pPr>
    </w:p>
    <w:p>
      <w:pPr>
        <w:pStyle w:val="P31"/>
        <w:framePr w:w="3839" w:h="249" w:hRule="exact" w:wrap="none" w:vAnchor="page" w:hAnchor="margin" w:x="6856" w:y="11120"/>
        <w:rPr>
          <w:rStyle w:val="C22"/>
          <w:rtl w:val="0"/>
        </w:rPr>
      </w:pPr>
      <w:r>
        <w:rPr>
          <w:rStyle w:val="C22"/>
          <w:rtl w:val="0"/>
        </w:rPr>
        <w:t>Ústní ověření</w:t>
      </w:r>
    </w:p>
    <w:p>
      <w:pPr>
        <w:pStyle w:val="P12"/>
        <w:framePr w:w="6710" w:h="607" w:hRule="exact" w:wrap="none" w:vAnchor="page" w:hAnchor="margin" w:x="45" w:y="11440"/>
        <w:rPr>
          <w:rStyle w:val="C3"/>
          <w:rtl w:val="0"/>
        </w:rPr>
      </w:pPr>
    </w:p>
    <w:p>
      <w:pPr>
        <w:pStyle w:val="P13"/>
        <w:framePr w:w="6658" w:h="480" w:hRule="exact" w:wrap="none" w:vAnchor="page" w:hAnchor="margin" w:x="71" w:y="11496"/>
        <w:rPr>
          <w:rStyle w:val="C11"/>
          <w:rtl w:val="0"/>
        </w:rPr>
      </w:pPr>
      <w:r>
        <w:rPr>
          <w:rStyle w:val="C11"/>
          <w:rtl w:val="0"/>
        </w:rPr>
        <w:t>i) Uvést, jak dlouho před zahájením provozu musí být spuštěna úpravna vody</w:t>
      </w:r>
    </w:p>
    <w:p>
      <w:pPr>
        <w:pStyle w:val="P28"/>
        <w:framePr w:w="3921" w:h="607" w:hRule="exact" w:wrap="none" w:vAnchor="page" w:hAnchor="margin" w:x="6800" w:y="11440"/>
        <w:rPr>
          <w:rStyle w:val="C3"/>
          <w:rtl w:val="0"/>
        </w:rPr>
      </w:pPr>
    </w:p>
    <w:p>
      <w:pPr>
        <w:pStyle w:val="P29"/>
        <w:framePr w:w="3839" w:h="480" w:hRule="exact" w:wrap="none" w:vAnchor="page" w:hAnchor="margin" w:x="6856" w:y="11496"/>
        <w:rPr>
          <w:rStyle w:val="C21"/>
          <w:rtl w:val="0"/>
        </w:rPr>
      </w:pPr>
      <w:r>
        <w:rPr>
          <w:rStyle w:val="C21"/>
          <w:rtl w:val="0"/>
        </w:rPr>
        <w:t>Ústní ověření</w:t>
      </w:r>
    </w:p>
    <w:p>
      <w:pPr>
        <w:pStyle w:val="P16"/>
        <w:framePr w:w="6710" w:h="607" w:hRule="exact" w:wrap="none" w:vAnchor="page" w:hAnchor="margin" w:x="45" w:y="12047"/>
        <w:rPr>
          <w:rStyle w:val="C3"/>
          <w:rtl w:val="0"/>
        </w:rPr>
      </w:pPr>
    </w:p>
    <w:p>
      <w:pPr>
        <w:pStyle w:val="P17"/>
        <w:framePr w:w="6658" w:h="480" w:hRule="exact" w:wrap="none" w:vAnchor="page" w:hAnchor="margin" w:x="71" w:y="12103"/>
        <w:rPr>
          <w:rStyle w:val="C13"/>
          <w:rtl w:val="0"/>
        </w:rPr>
      </w:pPr>
      <w:r>
        <w:rPr>
          <w:rStyle w:val="C13"/>
          <w:rtl w:val="0"/>
        </w:rPr>
        <w:t>j) Uvést termíny zasílání výsledků rozborů bazénových vod do informačního systému PiVo (pitná voda) a kdo výsledky zasílá</w:t>
      </w:r>
    </w:p>
    <w:p>
      <w:pPr>
        <w:pStyle w:val="P30"/>
        <w:framePr w:w="3921" w:h="607" w:hRule="exact" w:wrap="none" w:vAnchor="page" w:hAnchor="margin" w:x="6800" w:y="12047"/>
        <w:rPr>
          <w:rStyle w:val="C3"/>
          <w:rtl w:val="0"/>
        </w:rPr>
      </w:pPr>
    </w:p>
    <w:p>
      <w:pPr>
        <w:pStyle w:val="P31"/>
        <w:framePr w:w="3839" w:h="480" w:hRule="exact" w:wrap="none" w:vAnchor="page" w:hAnchor="margin" w:x="6856" w:y="12103"/>
        <w:rPr>
          <w:rStyle w:val="C22"/>
          <w:rtl w:val="0"/>
        </w:rPr>
      </w:pPr>
      <w:r>
        <w:rPr>
          <w:rStyle w:val="C22"/>
          <w:rtl w:val="0"/>
        </w:rPr>
        <w:t>Ústní ověření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k) Vyjmenovat povinnosti při zjištění nevyhovujících výsledků kvality vody bazénových vod a uvést nápravná opatření</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261"/>
        <w:rPr>
          <w:rStyle w:val="C3"/>
          <w:rtl w:val="0"/>
        </w:rPr>
      </w:pPr>
    </w:p>
    <w:p>
      <w:pPr>
        <w:pStyle w:val="P17"/>
        <w:framePr w:w="6658" w:h="249" w:hRule="exact" w:wrap="none" w:vAnchor="page" w:hAnchor="margin" w:x="71" w:y="13317"/>
        <w:rPr>
          <w:rStyle w:val="C13"/>
          <w:rtl w:val="0"/>
        </w:rPr>
      </w:pPr>
      <w:r>
        <w:rPr>
          <w:rStyle w:val="C13"/>
          <w:rtl w:val="0"/>
        </w:rPr>
        <w:t>l) Popsat postup a četnost úklidu bazénové vany a akumulační jímky</w:t>
      </w:r>
    </w:p>
    <w:p>
      <w:pPr>
        <w:pStyle w:val="P30"/>
        <w:framePr w:w="3921" w:h="376" w:hRule="exact" w:wrap="none" w:vAnchor="page" w:hAnchor="margin" w:x="6800" w:y="13261"/>
        <w:rPr>
          <w:rStyle w:val="C3"/>
          <w:rtl w:val="0"/>
        </w:rPr>
      </w:pPr>
    </w:p>
    <w:p>
      <w:pPr>
        <w:pStyle w:val="P31"/>
        <w:framePr w:w="3839" w:h="249" w:hRule="exact" w:wrap="none" w:vAnchor="page" w:hAnchor="margin" w:x="6856" w:y="13317"/>
        <w:rPr>
          <w:rStyle w:val="C22"/>
          <w:rtl w:val="0"/>
        </w:rPr>
      </w:pPr>
      <w:r>
        <w:rPr>
          <w:rStyle w:val="C22"/>
          <w:rtl w:val="0"/>
        </w:rPr>
        <w:t>Ústní ověření</w:t>
      </w:r>
    </w:p>
    <w:p>
      <w:pPr>
        <w:pStyle w:val="P12"/>
        <w:framePr w:w="6710" w:h="376" w:hRule="exact" w:wrap="none" w:vAnchor="page" w:hAnchor="margin" w:x="45" w:y="13637"/>
        <w:rPr>
          <w:rStyle w:val="C3"/>
          <w:rtl w:val="0"/>
        </w:rPr>
      </w:pPr>
    </w:p>
    <w:p>
      <w:pPr>
        <w:pStyle w:val="P13"/>
        <w:framePr w:w="6658" w:h="249" w:hRule="exact" w:wrap="none" w:vAnchor="page" w:hAnchor="margin" w:x="71" w:y="13693"/>
        <w:rPr>
          <w:rStyle w:val="C11"/>
          <w:rtl w:val="0"/>
        </w:rPr>
      </w:pPr>
      <w:r>
        <w:rPr>
          <w:rStyle w:val="C11"/>
          <w:rtl w:val="0"/>
        </w:rPr>
        <w:t>m) Uvést doplňkové způsoby dezinfekce bazénové vody</w:t>
      </w:r>
    </w:p>
    <w:p>
      <w:pPr>
        <w:pStyle w:val="P28"/>
        <w:framePr w:w="3921" w:h="376" w:hRule="exact" w:wrap="none" w:vAnchor="page" w:hAnchor="margin" w:x="6800" w:y="13637"/>
        <w:rPr>
          <w:rStyle w:val="C3"/>
          <w:rtl w:val="0"/>
        </w:rPr>
      </w:pPr>
    </w:p>
    <w:p>
      <w:pPr>
        <w:pStyle w:val="P29"/>
        <w:framePr w:w="3839" w:h="249" w:hRule="exact" w:wrap="none" w:vAnchor="page" w:hAnchor="margin" w:x="6856" w:y="13693"/>
        <w:rPr>
          <w:rStyle w:val="C21"/>
          <w:rtl w:val="0"/>
        </w:rPr>
      </w:pPr>
      <w:r>
        <w:rPr>
          <w:rStyle w:val="C21"/>
          <w:rtl w:val="0"/>
        </w:rPr>
        <w:t>Písemné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n) Popsat požadavky na mikroklima, osvětlení a kvalitu vzduchu v bazénové hale a přilehlých prostorách s vazbou na platnou legislativu</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Písemné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obsah pracovní náplně strojníka bazénu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obsah pracovní náplně pokladní a šatnářky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obsah pracovní náplně plavčíků a mistrů plavčích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obsah pracovní náplně instruktora plavání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obsah pracovní náplně obsluhy sauny, fitness a solária</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obsah pracovní náplně osoby odpovědné za úklid</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Zajišťování ekonomického provozu přírodního a umělého koupaliště</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Vyjmenovat nákladové položky provozu bazénu, koupaliště, sauny a aquaparku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Vyjmenovat příjmové položky provozu bazénu, koupaliště, sauny a aquaparku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Popsat způsoby provozování bazénu různými subjekty (město, nájemce aj.)</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ekonomické nástroje pro investice do zařízení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provedení manipulace na předložených maketách jednotlivých komponentů úpravny bazénové vody podle zadání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IT) a minimálně 10 let odborné praxe při výkonu činnosti spojené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Vyšší odborné vzdělání s technickým zaměřením strojním nebo chemicko-technologickým a alespoň 8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Vysokoškolské vzdělání s technickým zaměřením strojním nebo chemicko-technologickým nebo stavebním (obor vodní stavby a vodní hospodářství) a alespoň 5 let praxe v řídicích činnostech spojených s provozem bazénu, koupaliště, aquaparku a jejich úpravny vody, z toho minimálně jeden rok v období posledních dvou let před podáním žádosti o udělení autorizace. Musí být držitelem platného osvědčení Technik bazénu vydaného akreditovaným pracovištěm nebo být členem lektorského sboru v kurzu Technik bazénu.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KS a HS, tzn. se zdrojem elektrické energie 230 V, musí být vybaveno zejména modelem pískového filtru osazeného potrubím s ručními ventily nebo šesticestným ventilem, měřicí, dávkovací a regulační stanicí.</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odběry vzorků bazénové vody, harmonogram předepsaných revizí dle norem aj.)</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03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Doba pro vykonání zkoušky</w:t>
      </w:r>
    </w:p>
    <w:p>
      <w:pPr>
        <w:keepNext w:val="0"/>
        <w:keepLines w:val="0"/>
        <w:framePr w:w="10766" w:h="80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Technik bazénu, 28.4.2026 22:47:03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FC77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