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AC3EB" Type="http://schemas.openxmlformats.org/officeDocument/2006/relationships/officeDocument" Target="/word/document.xml" /><Relationship Id="coreR786AC3EB" Type="http://schemas.openxmlformats.org/package/2006/relationships/metadata/core-properties" Target="/docProps/core.xml" /><Relationship Id="customR786AC3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14.01.2020 do: 27.10.2022</w:t>
      </w:r>
    </w:p>
    <w:p>
      <w:pPr>
        <w:pStyle w:val="P22"/>
        <w:framePr w:w="7654" w:h="331" w:hRule="exact" w:wrap="none" w:vAnchor="page" w:hAnchor="margin" w:x="28" w:y="15940"/>
        <w:rPr>
          <w:rStyle w:val="C16"/>
          <w:rtl w:val="0"/>
        </w:rPr>
      </w:pPr>
      <w:r>
        <w:rPr>
          <w:rStyle w:val="C16"/>
          <w:rtl w:val="0"/>
        </w:rPr>
        <w:t>Samostatný elektrotechnik pro biomedicínské přístroje, 13.9.2026 18:48:53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13.9.2026 18:48:53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13.9.2026 18:48:53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pro biomedicínské přístroje, 13.9.2026 18:48:53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13.9.2026 18:48:53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13.9.2026 18:48:53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pro biomedicínské přístroje, 13.9.2026 18:48:53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24BF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6F1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612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