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74A8F7" Type="http://schemas.openxmlformats.org/officeDocument/2006/relationships/officeDocument" Target="/word/document.xml" /><Relationship Id="coreR5074A8F7" Type="http://schemas.openxmlformats.org/package/2006/relationships/metadata/core-properties" Target="/docProps/core.xml" /><Relationship Id="customR5074A8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pro biomedicínské přístroje (kód: 26-027-R)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biomedicínské přístroje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570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dokumentaci, elektrotechnických normách, normách z oblasti technických zdravotních</w:t>
      </w: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prostředků a zákonech</w:t>
      </w:r>
    </w:p>
    <w:p>
      <w:pPr>
        <w:pStyle w:val="P13"/>
        <w:framePr w:w="805" w:h="570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443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607" w:hRule="exact" w:wrap="none" w:vAnchor="page" w:hAnchor="margin" w:x="45" w:y="6189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6245"/>
        <w:rPr>
          <w:rStyle w:val="C12"/>
          <w:rtl w:val="0"/>
        </w:rPr>
      </w:pPr>
      <w:r>
        <w:rPr>
          <w:rStyle w:val="C12"/>
          <w:rtl w:val="0"/>
        </w:rPr>
        <w:t>Zajišťování provozuschopnosti zdravotnické techniky, kontrola a zabezpečení činnosti související s jejím provozem</w:t>
      </w:r>
    </w:p>
    <w:p>
      <w:pPr>
        <w:pStyle w:val="P17"/>
        <w:framePr w:w="805" w:h="607" w:hRule="exact" w:wrap="none" w:vAnchor="page" w:hAnchor="margin" w:x="9916" w:y="6189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6245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6796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52"/>
        <w:rPr>
          <w:rStyle w:val="C14"/>
          <w:rtl w:val="0"/>
        </w:rPr>
      </w:pPr>
      <w:r>
        <w:rPr>
          <w:rStyle w:val="C14"/>
          <w:rtl w:val="0"/>
        </w:rPr>
        <w:t>Školení obsluhy zdravotnických přístrojů a zařízení</w:t>
      </w:r>
    </w:p>
    <w:p>
      <w:pPr>
        <w:pStyle w:val="P13"/>
        <w:framePr w:w="805" w:h="376" w:hRule="exact" w:wrap="none" w:vAnchor="page" w:hAnchor="margin" w:x="9916" w:y="6796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852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376" w:hRule="exact" w:wrap="none" w:vAnchor="page" w:hAnchor="margin" w:x="45" w:y="717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229"/>
        <w:rPr>
          <w:rStyle w:val="C12"/>
          <w:rtl w:val="0"/>
        </w:rPr>
      </w:pPr>
      <w:r>
        <w:rPr>
          <w:rStyle w:val="C12"/>
          <w:rtl w:val="0"/>
        </w:rPr>
        <w:t>Diagnostika závad zdravotnické techniky</w:t>
      </w:r>
    </w:p>
    <w:p>
      <w:pPr>
        <w:pStyle w:val="P17"/>
        <w:framePr w:w="805" w:h="376" w:hRule="exact" w:wrap="none" w:vAnchor="page" w:hAnchor="margin" w:x="9916" w:y="717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229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7549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605"/>
        <w:rPr>
          <w:rStyle w:val="C14"/>
          <w:rtl w:val="0"/>
        </w:rPr>
      </w:pPr>
      <w:r>
        <w:rPr>
          <w:rStyle w:val="C14"/>
          <w:rtl w:val="0"/>
        </w:rPr>
        <w:t>Měření elektrických veličin, vyhodnocení naměřených hodnot</w:t>
      </w:r>
    </w:p>
    <w:p>
      <w:pPr>
        <w:pStyle w:val="P13"/>
        <w:framePr w:w="805" w:h="376" w:hRule="exact" w:wrap="none" w:vAnchor="page" w:hAnchor="margin" w:x="9916" w:y="754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605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815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92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30.7.2026 5:29:22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894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https://www.nsp.cz/jednotka-prace/samostatny-elektrotechnik-77bf#zdravotni-zpusobilost).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demonstruje svoje znalosti či schopnosti na konkrétním zdravotnickém přístroji či zařízení (monitor základních životních funkcí, EKG, ultrazvuk, echokardiografický přístroj, radiodiagnostický přístroj, laboratorní přístroj), který určí autorizovaná osoba.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nasimuluje na konkrétním přístroji či zdravotnickém zařízení nejméně dvě závady. Uchazeč se v průběhu přípravy na zkoušku seznámí s konkrétním typem přístroje či zdravotnického zařízení a po celou dobu zkoušky, včetně přípravy na zkoušku, má k dispozici manuál zařízení.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elektrotechnice.“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30.7.2026 5:29:22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30.7.2026 5:29:22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