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6D76F" Type="http://schemas.openxmlformats.org/officeDocument/2006/relationships/officeDocument" Target="/word/document.xml" /><Relationship Id="coreR6146D76F" Type="http://schemas.openxmlformats.org/package/2006/relationships/metadata/core-properties" Target="/docProps/core.xml" /><Relationship Id="customR6146D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 pro děti a dospělé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topidla a strojního zařízení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stavebních a technických požadavků na provoz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definice odborného názvosloví (sauna, infrakabina, saunový cyklus, prohřívárna, obsluha sauny, ochlazovací bazén, šatna, sprcha, odpočívárna, masérna, solárium, zásady saunování, saunování dětí, pitný režim)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předpisy, které upravují manipulaci s nebezpečnými chemickými látkami a přípravky při zajištění kvality vody v ochlazovacím bazénku podle platné legislativy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Vyjmenovat legislativní předpisy v oblasti podnikání v oboru saun</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Uvést předpisy, které upravují provozní a hygienické požadavky na sauny, parní kabiny a wellness provozy</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Vyjmenovat předpisy pro bezpečnost práce</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Ústní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způsoby provozování sauny různými subjekty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Ústní ověření</w:t>
      </w:r>
    </w:p>
    <w:p>
      <w:pPr>
        <w:pStyle w:val="P32"/>
        <w:framePr w:w="10710" w:h="248" w:hRule="exact" w:wrap="none" w:vAnchor="page" w:hAnchor="margin" w:x="28" w:y="7645"/>
        <w:rPr>
          <w:rStyle w:val="C23"/>
          <w:rtl w:val="0"/>
        </w:rPr>
      </w:pPr>
      <w:r>
        <w:rPr>
          <w:rStyle w:val="C23"/>
          <w:rtl w:val="0"/>
        </w:rPr>
        <w:t>Je třeba splnit všechna kritéria.</w:t>
      </w:r>
    </w:p>
    <w:p>
      <w:pPr>
        <w:pStyle w:val="P23"/>
        <w:framePr w:w="10710" w:h="340" w:hRule="exact" w:wrap="none" w:vAnchor="page" w:hAnchor="margin" w:x="28" w:y="8081"/>
        <w:rPr>
          <w:rStyle w:val="C18"/>
          <w:rtl w:val="0"/>
        </w:rPr>
      </w:pPr>
      <w:r>
        <w:rPr>
          <w:rStyle w:val="C18"/>
          <w:rtl w:val="0"/>
        </w:rPr>
        <w:t>Ovládání topidla a strojního zařízení sauny</w:t>
      </w:r>
    </w:p>
    <w:p>
      <w:pPr>
        <w:pStyle w:val="P24"/>
        <w:framePr w:w="6713" w:h="376" w:hRule="exact" w:wrap="none" w:vAnchor="page" w:hAnchor="margin" w:x="45" w:y="8520"/>
        <w:rPr>
          <w:rStyle w:val="C3"/>
          <w:rtl w:val="0"/>
        </w:rPr>
      </w:pPr>
    </w:p>
    <w:p>
      <w:pPr>
        <w:pStyle w:val="P25"/>
        <w:framePr w:w="6661" w:h="249" w:hRule="exact" w:wrap="none" w:vAnchor="page" w:hAnchor="margin" w:x="71" w:y="8591"/>
        <w:rPr>
          <w:rStyle w:val="C19"/>
          <w:rtl w:val="0"/>
        </w:rPr>
      </w:pPr>
      <w:r>
        <w:rPr>
          <w:rStyle w:val="C19"/>
          <w:rtl w:val="0"/>
        </w:rPr>
        <w:t>Kritéria hodnocení</w:t>
      </w:r>
    </w:p>
    <w:p>
      <w:pPr>
        <w:pStyle w:val="P26"/>
        <w:framePr w:w="3918" w:h="376" w:hRule="exact" w:wrap="none" w:vAnchor="page" w:hAnchor="margin" w:x="6803" w:y="8520"/>
        <w:rPr>
          <w:rStyle w:val="C3"/>
          <w:rtl w:val="0"/>
        </w:rPr>
      </w:pPr>
    </w:p>
    <w:p>
      <w:pPr>
        <w:pStyle w:val="P27"/>
        <w:framePr w:w="3836" w:h="249" w:hRule="exact" w:wrap="none" w:vAnchor="page" w:hAnchor="margin" w:x="6859" w:y="8591"/>
        <w:rPr>
          <w:rStyle w:val="C20"/>
          <w:rtl w:val="0"/>
        </w:rPr>
      </w:pPr>
      <w:r>
        <w:rPr>
          <w:rStyle w:val="C20"/>
          <w:rtl w:val="0"/>
        </w:rPr>
        <w:t>Způsoby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a) Vysvětlit konstrukci a funkci saunového topidla (topná media: dřevo, elektro aj.) a parního vyvíječe včetně regulace topidla</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831" w:hRule="exact" w:wrap="none" w:vAnchor="page" w:hAnchor="margin" w:x="45" w:y="9503"/>
        <w:rPr>
          <w:rStyle w:val="C3"/>
          <w:rtl w:val="0"/>
        </w:rPr>
      </w:pPr>
    </w:p>
    <w:p>
      <w:pPr>
        <w:pStyle w:val="P17"/>
        <w:framePr w:w="6658" w:h="704" w:hRule="exact" w:wrap="none" w:vAnchor="page" w:hAnchor="margin" w:x="71" w:y="9559"/>
        <w:rPr>
          <w:rStyle w:val="C13"/>
          <w:rtl w:val="0"/>
        </w:rPr>
      </w:pPr>
      <w:r>
        <w:rPr>
          <w:rStyle w:val="C13"/>
          <w:rtl w:val="0"/>
        </w:rPr>
        <w:t>b) Popsat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9503"/>
        <w:rPr>
          <w:rStyle w:val="C3"/>
          <w:rtl w:val="0"/>
        </w:rPr>
      </w:pPr>
    </w:p>
    <w:p>
      <w:pPr>
        <w:pStyle w:val="P31"/>
        <w:framePr w:w="3839" w:h="704" w:hRule="exact" w:wrap="none" w:vAnchor="page" w:hAnchor="margin" w:x="6856" w:y="9559"/>
        <w:rPr>
          <w:rStyle w:val="C22"/>
          <w:rtl w:val="0"/>
        </w:rPr>
      </w:pPr>
      <w:r>
        <w:rPr>
          <w:rStyle w:val="C22"/>
          <w:rtl w:val="0"/>
        </w:rPr>
        <w:t>Písemné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Nastavit saunovou regulaci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831" w:hRule="exact" w:wrap="none" w:vAnchor="page" w:hAnchor="margin" w:x="45" w:y="10711"/>
        <w:rPr>
          <w:rStyle w:val="C3"/>
          <w:rtl w:val="0"/>
        </w:rPr>
      </w:pPr>
    </w:p>
    <w:p>
      <w:pPr>
        <w:pStyle w:val="P17"/>
        <w:framePr w:w="6658" w:h="704" w:hRule="exact" w:wrap="none" w:vAnchor="page" w:hAnchor="margin" w:x="71" w:y="10767"/>
        <w:rPr>
          <w:rStyle w:val="C13"/>
          <w:rtl w:val="0"/>
        </w:rPr>
      </w:pPr>
      <w:r>
        <w:rPr>
          <w:rStyle w:val="C13"/>
          <w:rtl w:val="0"/>
        </w:rPr>
        <w:t>d) Popsat způsob výměny vzduchu, mikroklima prohřívárny a uvést požadavky na příslušnou teplotu a vlhkost vzduchu v jednotlivých prostorách v saunovém provozu podle platných předpisů</w:t>
      </w:r>
    </w:p>
    <w:p>
      <w:pPr>
        <w:pStyle w:val="P30"/>
        <w:framePr w:w="3921" w:h="831" w:hRule="exact" w:wrap="none" w:vAnchor="page" w:hAnchor="margin" w:x="6800" w:y="10711"/>
        <w:rPr>
          <w:rStyle w:val="C3"/>
          <w:rtl w:val="0"/>
        </w:rPr>
      </w:pPr>
    </w:p>
    <w:p>
      <w:pPr>
        <w:pStyle w:val="P31"/>
        <w:framePr w:w="3839" w:h="704"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f) Popsat možnost využití alternativních zdrojů energie pro ohřev TUV a vytápění objektu</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stavebních a technických požadavků na provoz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schéma sauny ‒ rozlišit čistou a špinavou zónu, rozlišit suchou a mokrou zónu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šatny saun, očistné a zážitkové sprchy, vnitřní a venkovní ochlazovnu a odpočívárnu podle platné legislativy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pravidla pro návrh prohřívárny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vytápění saunového provozu, zejména prohřívárny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Zajišťování provozu sauny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rozdíl mezi provozním a návštěvním řádem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Vyjmenovat pomůcky BOZP a vysvětlit jejich používání v saunovém provozu podle platné legislativy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obsah provozního deníku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Vyjmenovat vhodné doplňkové provozy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Uvést druhy vonných esencí a vysvětlit jejich účinky na organismus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princip saunových ceremoniálů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zásady komunikace s klientem na základě typologie osobnosti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Dodržování hygieny provozu sauny</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Popsat dezinfekční režim (úklidový řád), základní typy úklidových prostředků a pracovní náplň osoby zodpovědné za úklid</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c) Předvést manipulaci s čistým a špinavým prádlem</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d) Uvést činnosti provádění před zahájením provozu a po ukončení provozu sauny</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zdravého saunování včetně předlékařské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funkci kůže, kardiovaskulárního systému a dýchacího ústrojí u klienta během saunování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správný postup při zdravém saunování pro dospělé</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správný postup při zdravém saunování pro děti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indikace a kontraindikace saunování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správný postup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zajištění základních životních funkcí a komunikaci s Integrovaným záchranným systémem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rozdíly při saunování dětí (skupinové saunování) od saunování dospělých</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možnosti saunování ZTP občanů a osob pod lékařským dozorem</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Vysvětlit důležitost dodržování pitného režimu před, po a během saunování u dětí a dospělých</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důležitost správného stravování v režimu saunování před a po saunování, zejména u dětí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Popsat odlišnosti při saunování těhotných včetně poskytnutí první pomoci</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Zajišťování ekonomického provozu veřejné sauny</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Vyjmenovat nákladové položky provozu sauny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Vyjmenovat příjmové položky provozu sauny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rozdíly mezi provozováním sauny ve vlastním nebo pronajatém provozu z ekonomického hlediska</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d) Popsat ekonomické nástroje pro investice do zařízení</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Ústní ověření</w:t>
      </w:r>
    </w:p>
    <w:p>
      <w:pPr>
        <w:pStyle w:val="P32"/>
        <w:framePr w:w="10710" w:h="248" w:hRule="exact" w:wrap="none" w:vAnchor="page" w:hAnchor="margin" w:x="28" w:y="11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bezpečného používání úklidových chemických prostředků a pomůcek</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nemá autorizovaná osoba vzdělání v oblasti hygieny a poskytování předlékařské první pomoci, doporučuje se, aby byl při zkoušce přítomen jako přísedící odborník z těchto oblastí, který není členem zkušební komise.</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pedagogickým (sportovním) a minimálně 10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technickým zaměřením strojním nebo chemicko-technologickým a minimálně 8 let odborné praxe při výkonu činnosti spojené s provozem sauny, z toho minimálně jeden rok v období posledních dvou let před podáním žádosti o udělení autorizace. Musí být držitelem platného osvědčení Obsluha sauny vydaného akreditovaným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technickým zaměřením strojním nebo chemicko-technologickým nebo stavebním (obor stavby a vodní hospodářství) nebo lékařské a minimálně 5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musí být vybaveno následujícími pomůckami: saunové topidlo včetně regulace. Část praktické zkoušky je prováděna s funkčními přístroji a modely na učebně, část ve veřejné sauně. Jde o modely nebo funkční přístroje nutné k praktickým zkouškám.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diagram mikroklimatu, technické předpisy v aktuálním znění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saunového topidla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 regulace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prádlo (osuška, prostěradla)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k přezkoušení z první pomoci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Obsluha sauny pro děti a dospělé, 13.6.2026 11:18:57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F24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