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385EEC" Type="http://schemas.openxmlformats.org/officeDocument/2006/relationships/officeDocument" Target="/word/document.xml" /><Relationship Id="coreR1D385EEC" Type="http://schemas.openxmlformats.org/package/2006/relationships/metadata/core-properties" Target="/docProps/core.xml" /><Relationship Id="customR1D385E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Výsadba ovocných dřevin včetně ošetření po výsadbě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rostlin ručním nářadím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Řez ovocných dřevin na trvalém stanovišti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ovoce a jeho úpravy pro prodej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ovocných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Hnojení ovocných stromů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obsluha traktorů a jiné mechanizace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ovocných rostlin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05.11.2012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Ovocnář, 29.10.2026 1:41:25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profesní kvalifikace je poměrně rozsáhlá – to mimo jiné vypovídá o její profesní náročnosti.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Ovocnář, 29.10.2026 1:41:25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zahradních společenstev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školkařů České republiky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Ovocnář, 29.10.2026 1:41:25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