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CDAE4" Type="http://schemas.openxmlformats.org/officeDocument/2006/relationships/officeDocument" Target="/word/document.xml" /><Relationship Id="coreR699CDAE4" Type="http://schemas.openxmlformats.org/package/2006/relationships/metadata/core-properties" Target="/docProps/core.xml" /><Relationship Id="customR699CDA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13.6.2026 10:52:33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13.6.2026 10:52:33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13.6.2026 10:52:33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13.6.2026 10:52:33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