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BAE21C" Type="http://schemas.openxmlformats.org/officeDocument/2006/relationships/officeDocument" Target="/word/document.xml" /><Relationship Id="coreR5DBAE21C" Type="http://schemas.openxmlformats.org/package/2006/relationships/metadata/core-properties" Target="/docProps/core.xml" /><Relationship Id="customR5DBAE2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29.10.2013 do: 06.07.2015</w:t>
      </w:r>
    </w:p>
    <w:p>
      <w:pPr>
        <w:pStyle w:val="P21"/>
        <w:framePr w:w="7654" w:h="331" w:hRule="exact" w:wrap="none" w:vAnchor="page" w:hAnchor="margin" w:x="28" w:y="15940"/>
        <w:rPr>
          <w:rStyle w:val="C16"/>
          <w:rtl w:val="0"/>
        </w:rPr>
      </w:pPr>
      <w:r>
        <w:rPr>
          <w:rStyle w:val="C16"/>
          <w:rtl w:val="0"/>
        </w:rPr>
        <w:t>Pracovník dohledového centra, 1.11.2026 2:59:54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dohledového centra, 1.11.2026 2:59:54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pumovým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1.11.2026 2:59:54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dozorového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dozorového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dozorového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1.11.2026 2:59:54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Obsluhování technických bezpečnostních systémů s orientací na přijímací zařízení a vyhodnocování signálů z bezpečnostních systémů,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ze souboru typových situací. Typové situace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na datovém nosiči po udělení autorizace a dále při každé aktualizaci souborů otázek a typových situací. 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Výsledné hodnocení</w:t>
      </w:r>
    </w:p>
    <w:p>
      <w:pPr>
        <w:keepNext w:val="0"/>
        <w:keepLines w:val="0"/>
        <w:framePr w:w="10766" w:h="1497"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dohledového centra, 1.11.2026 2:59:54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960"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získané absolvováním studia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musí mít uživatelskou dovednost práce s počítačem a internetem (doložit čestným prohlášením).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dohledového centra, 1.11.2026 2:59:54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bezpečnostní systémy pro ověření znalosti jejich vyhodnocování, obvyklé prostředky pro spojení, formalizované a jiné záznamní a evidenční pomůcky,</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k vedení záznamů o průběhu zkoušky, hodnocení a dalších dokumentů, případně umožňující absolvování písemného testu,</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texty právních předpisů, záznamní a ostatní pomůcky nezbytné pro práci komise a činnost uchazeče.</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017"/>
        <w:rPr>
          <w:rStyle w:val="C3"/>
          <w:rtl w:val="0"/>
        </w:rPr>
      </w:pPr>
    </w:p>
    <w:p>
      <w:pPr>
        <w:pStyle w:val="P35"/>
        <w:framePr w:w="10710" w:h="340" w:hRule="exact" w:wrap="none" w:vAnchor="page" w:hAnchor="margin" w:x="28" w:y="7017"/>
        <w:rPr>
          <w:rStyle w:val="C25"/>
          <w:rtl w:val="0"/>
        </w:rPr>
      </w:pPr>
      <w:r>
        <w:rPr>
          <w:rStyle w:val="C25"/>
          <w:rtl w:val="0"/>
        </w:rPr>
        <w:t>Doba přípravy na zkoušku</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pro vykonání zkoušky</w:t>
      </w:r>
    </w:p>
    <w:p>
      <w:pPr>
        <w:keepNext w:val="0"/>
        <w:keepLines w:val="0"/>
        <w:framePr w:w="10766" w:h="806"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45 minut. Praktická a ústní část zkoušky trvá 20 až 30 minut. Celková doba trvání zkoušky je 50 až 75 minut. Obě části zkoušky absolvuje uchazeč v jednom dni.</w:t>
      </w:r>
    </w:p>
    <w:p>
      <w:pPr>
        <w:pStyle w:val="P21"/>
        <w:framePr w:w="7654" w:h="331" w:hRule="exact" w:wrap="none" w:vAnchor="page" w:hAnchor="margin" w:x="28" w:y="15940"/>
        <w:rPr>
          <w:rStyle w:val="C16"/>
          <w:rtl w:val="0"/>
        </w:rPr>
      </w:pPr>
      <w:r>
        <w:rPr>
          <w:rStyle w:val="C16"/>
          <w:rtl w:val="0"/>
        </w:rPr>
        <w:t>Pracovník dohledového centra, 1.11.2026 2:59:54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pStyle w:val="P21"/>
        <w:framePr w:w="7654" w:h="331" w:hRule="exact" w:wrap="none" w:vAnchor="page" w:hAnchor="margin" w:x="28" w:y="15940"/>
        <w:rPr>
          <w:rStyle w:val="C16"/>
          <w:rtl w:val="0"/>
        </w:rPr>
      </w:pPr>
      <w:r>
        <w:rPr>
          <w:rStyle w:val="C16"/>
          <w:rtl w:val="0"/>
        </w:rPr>
        <w:t>Pracovník dohledového centra, 1.11.2026 2:59:54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