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258EFD" Type="http://schemas.openxmlformats.org/officeDocument/2006/relationships/officeDocument" Target="/word/document.xml" /><Relationship Id="coreR25258EFD" Type="http://schemas.openxmlformats.org/package/2006/relationships/metadata/core-properties" Target="/docProps/core.xml" /><Relationship Id="customR25258E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dohledového centra, 29.4.2026 2:10:45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Mgr. Bílek Marek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Orlov 39, 26101 Příbram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Ing. Franková Jiřina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Korunní 1208/74, 10100 Praha 10 - Vinohrady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Mgr.Bc. Hájková Kateřina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Průkopnická 352/24, 74720 Vřesina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Ing. Milan Říha Ph.D s.r.o.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Sluštice 142, 25084 Sluštice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Bc. Ježek Josef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Nový Březhrad 194/2a, 50332 Hradec Králové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Bc. Kadluba Martin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Heřmanická 1326/14, 71000 Ostrava - Slezská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Mgr. Liener Roman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Chaloupkova 2879/10, 61200 Brno-Královo Pole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Mark2 Corporation Czech a.s.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Vladislavova 1390/17, 11000 Praha 1 - Nové Město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Mgr. Mohyla Jakub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Ovocná 523, 73581 Starý Bohumín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Ing. Polášek David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 xml:space="preserve">76001 Březnice  648,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Ing. Zahálka Antonín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Pod lesem 624/8, 37371 Rudolfov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dohledového centra, 29.4.2026 2:10:45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