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557295" Type="http://schemas.openxmlformats.org/officeDocument/2006/relationships/officeDocument" Target="/word/document.xml" /><Relationship Id="coreR29557295" Type="http://schemas.openxmlformats.org/package/2006/relationships/metadata/core-properties" Target="/docProps/core.xml" /><Relationship Id="customR29557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v konkrétním ekonomickém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Aplikování právních norem s důrazem na bezpečnostně právní problematiku a ochranu osobních údajů; Aplikování forem, metod a prostředků soukromé detektivní činnosti v konkrétním ekonomickém prostředí; Ovládání zásad obsluhy prostředků a pomůcek soukromé detektivní činnosti.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Každé písemně ověřované kritérium musí být zastoupeno alespoň 2x. Celková velikost souboru testových otázek musí být minimálně 60 s tím, že každé písemně ověřované kritérium musí být zastoupeno alespoň 5 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úspěšnému vykonání písemné části zkoušky je nutné odpovědět nejméně 80 %, to je 24 otázek testu správně. 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údajů; Aplikování forem, metod a prostředků soukromé detektivní činnosti v konkrétním ekonomickém prostředí. Skupina B kompetence: Ovládání zásad obsluhy prostředků a pomůcek soukromé detektivní činnosti; Dokumentování a vyhodnocování informací, jejich evidence a příprava k předání klientovi; Zpracování informací s ohledem na využitelnost informačních zdrojů.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29.4.2026 0:25:49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