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3B8A55" Type="http://schemas.openxmlformats.org/officeDocument/2006/relationships/officeDocument" Target="/word/document.xml" /><Relationship Id="coreR543B8A55" Type="http://schemas.openxmlformats.org/package/2006/relationships/metadata/core-properties" Target="/docProps/core.xml" /><Relationship Id="customR543B8A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posuzování jakostních parametrů vinných hroznů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pro výrobu tichých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výrobu šumivých, perlivých, likérových a aromatizovaných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úprava parametrů kvasného procesu a vlastností vín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odběru vzorků při výrobě vína pro laboratorní analýzu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vinařských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vín, surovin pro jejich výrobu a vedlejších produktů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Likvidace, shromažďování a skladování odpadů při výrobě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Provozní senzorická analýza vína při výrobě vína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vinařské evidence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vín,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Vinař, 29.10.2026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http://katalog.nsp.cz/karta_p.aspx?id_jp=102458&amp;kod_sm1=28).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vín.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jsou podmínkou pro zajištění kvality vína.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Vinař, 29.10.2026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biotechnologií FPBT, VŠCHT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Zámecké vinařství Bzenec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Arcibiskupské vinné sklepy Kroměříž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Vinař, 29.10.2026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