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FE350" Type="http://schemas.openxmlformats.org/officeDocument/2006/relationships/officeDocument" Target="/word/document.xml" /><Relationship Id="coreR7B8FE350" Type="http://schemas.openxmlformats.org/package/2006/relationships/metadata/core-properties" Target="/docProps/core.xml" /><Relationship Id="customR7B8FE3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26.10.2023</w:t>
      </w:r>
    </w:p>
    <w:p>
      <w:pPr>
        <w:pStyle w:val="P21"/>
        <w:framePr w:w="7654" w:h="331" w:hRule="exact" w:wrap="none" w:vAnchor="page" w:hAnchor="margin" w:x="28" w:y="15940"/>
        <w:rPr>
          <w:rStyle w:val="C16"/>
          <w:rtl w:val="0"/>
        </w:rPr>
      </w:pPr>
      <w:r>
        <w:rPr>
          <w:rStyle w:val="C16"/>
          <w:rtl w:val="0"/>
        </w:rPr>
        <w:t>Obsluha lisovacího zařízení ovoce, 2.5.2026 1:09:41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2.5.2026 1:09:41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2.5.2026 1:09:41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https://www.nsp.cz/jednotka-prace/obsluha-lisovaciho-zarize#zdravotni-zpusobilost).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2.5.2026 1:09:41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2.5.2026 1:09:41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2.5.2026 1:09:41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2.5.2026 1:09:41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039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C777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1F45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