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EF40A" Type="http://schemas.openxmlformats.org/officeDocument/2006/relationships/officeDocument" Target="/word/document.xml" /><Relationship Id="coreR1EAEF40A" Type="http://schemas.openxmlformats.org/package/2006/relationships/metadata/core-properties" Target="/docProps/core.xml" /><Relationship Id="customR1EAEF4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automatizační techniky a elektrotechniky, nebo v oblasti mechatroniky, minimálně 10 let praxe na pozici vyžadující odbornou způsobilost pro výkon činnosti na elektrotechnických a elektronických a strojírenských zařízeních nebo funkce učitele odborného výcviku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automatizační techniku a elektrotechniku, nebo se zaměřením na mechatroniku a minimálně 5 let praxe na pozici vyžadující odbornou způsobilost pro výkon činnosti na elektrotechnických, elektronických a strojírenských zařízeních nebo funkce učitele ve výše uvedených oborech,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mechatronik a minimálně 12 let praxe na pozici vyžadující odbornou způsobilost pro výkon činnosti mechatronika a 5 let pedagogické nebo lektorské činnosti, vykonávané souběžně s činností mechatronika,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27.10.2026 3:39:15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249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