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DBF6F" Type="http://schemas.openxmlformats.org/officeDocument/2006/relationships/officeDocument" Target="/word/document.xml" /><Relationship Id="coreR630DBF6F" Type="http://schemas.openxmlformats.org/package/2006/relationships/metadata/core-properties" Target="/docProps/core.xml" /><Relationship Id="customR630DBF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13.6.2026 15:45:52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13.6.2026 15:45:52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13.6.2026 15:45:52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13.6.2026 15:45:52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13.6.2026 15:45:52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13.6.2026 15:45:52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13.6.2026 15:45:52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13.6.2026 15:45:52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06F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D28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