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5181012" Type="http://schemas.openxmlformats.org/officeDocument/2006/relationships/officeDocument" Target="/word/document.xml" /><Relationship Id="coreR45181012" Type="http://schemas.openxmlformats.org/package/2006/relationships/metadata/core-properties" Target="/docProps/core.xml" /><Relationship Id="customR4518101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Starožitník (kód: 66-022-M)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Starožitník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Předvedení starožitného zboží před zákazníkem, určení doby vzniku, materiálového a technologického zpracování, užití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Komunikace se zákazníkem v českém i cizím jazyce s využitím odborných znalostí z dějin umění a užitého umění</w:t>
      </w:r>
    </w:p>
    <w:p>
      <w:pPr>
        <w:pStyle w:val="P18"/>
        <w:framePr w:w="805" w:h="607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83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889"/>
        <w:rPr>
          <w:rStyle w:val="C11"/>
          <w:rtl w:val="0"/>
        </w:rPr>
      </w:pPr>
      <w:r>
        <w:rPr>
          <w:rStyle w:val="C11"/>
          <w:rtl w:val="0"/>
        </w:rPr>
        <w:t>Vedení obchodní a prodejní dokumentace</w:t>
      </w:r>
    </w:p>
    <w:p>
      <w:pPr>
        <w:pStyle w:val="P14"/>
        <w:framePr w:w="805" w:h="376" w:hRule="exact" w:wrap="none" w:vAnchor="page" w:hAnchor="margin" w:x="9916" w:y="683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88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Přijímání hotovostních a bezhotovostních plateb a obsluha pokladny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Orientace v komisním a aukčním prodeji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Ošetřování a uložení zboží z hlediska různého starožitného sortimentu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Využívání výpočetní techniky a internetu k prodeji v kamenných obchodech a e-shopech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 xml:space="preserve">Balení a expedice zboží s ohledem na jedinečnost sortimentu  v provozovně starožitnictví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09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147"/>
        <w:rPr>
          <w:rStyle w:val="C11"/>
          <w:rtl w:val="0"/>
        </w:rPr>
      </w:pPr>
      <w:r>
        <w:rPr>
          <w:rStyle w:val="C11"/>
          <w:rtl w:val="0"/>
        </w:rPr>
        <w:t>Aranžování zboží na prodejně, prodejních výstavách, veletrzích a aukcích</w:t>
      </w:r>
    </w:p>
    <w:p>
      <w:pPr>
        <w:pStyle w:val="P14"/>
        <w:framePr w:w="805" w:h="376" w:hRule="exact" w:wrap="none" w:vAnchor="page" w:hAnchor="margin" w:x="9916" w:y="909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147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9467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9523"/>
        <w:rPr>
          <w:rStyle w:val="C13"/>
          <w:rtl w:val="0"/>
        </w:rPr>
      </w:pPr>
      <w:r>
        <w:rPr>
          <w:rStyle w:val="C13"/>
          <w:rtl w:val="0"/>
        </w:rPr>
        <w:t>Komunikace s úřady, práce s legislativou a obecně platnými předpisy, uplatňování pravidel vývozu a dovozu zboží v rámci EU a mimo ni</w:t>
      </w:r>
    </w:p>
    <w:p>
      <w:pPr>
        <w:pStyle w:val="P18"/>
        <w:framePr w:w="805" w:h="607" w:hRule="exact" w:wrap="none" w:vAnchor="page" w:hAnchor="margin" w:x="9916" w:y="9467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9523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20"/>
        <w:framePr w:w="9826" w:h="376" w:hRule="exact" w:wrap="none" w:vAnchor="page" w:hAnchor="margin" w:x="45" w:y="10074"/>
        <w:rPr>
          <w:rStyle w:val="C3"/>
          <w:rtl w:val="0"/>
        </w:rPr>
      </w:pPr>
    </w:p>
    <w:p>
      <w:pPr>
        <w:pStyle w:val="P20"/>
        <w:keepNext w:val="0"/>
        <w:keepLines w:val="0"/>
        <w:framePr w:w="9826" w:h="376" w:hRule="exact" w:wrap="none" w:vAnchor="page" w:hAnchor="margin" w:x="45" w:y="1007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Výběr předmětů k opravám a restaurování</w:t>
      </w:r>
    </w:p>
    <w:p>
      <w:pPr>
        <w:pStyle w:val="P14"/>
        <w:framePr w:w="805" w:h="376" w:hRule="exact" w:wrap="none" w:vAnchor="page" w:hAnchor="margin" w:x="9916" w:y="1007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3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10450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06"/>
        <w:rPr>
          <w:rStyle w:val="C13"/>
          <w:rtl w:val="0"/>
        </w:rPr>
      </w:pPr>
      <w:r>
        <w:rPr>
          <w:rStyle w:val="C13"/>
          <w:rtl w:val="0"/>
        </w:rPr>
        <w:t>Kvalitativní a kvantitativní posuzování zboží při výkupu</w:t>
      </w:r>
    </w:p>
    <w:p>
      <w:pPr>
        <w:pStyle w:val="P18"/>
        <w:framePr w:w="805" w:h="376" w:hRule="exact" w:wrap="none" w:vAnchor="page" w:hAnchor="margin" w:x="9916" w:y="10450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06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1105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1"/>
        <w:framePr w:w="4283" w:h="248" w:hRule="exact" w:wrap="none" w:vAnchor="page" w:hAnchor="margin" w:x="28" w:y="11393"/>
        <w:rPr>
          <w:rStyle w:val="C15"/>
          <w:rtl w:val="0"/>
        </w:rPr>
      </w:pPr>
      <w:r>
        <w:rPr>
          <w:rStyle w:val="C15"/>
          <w:rtl w:val="0"/>
        </w:rPr>
        <w:t>Standard je platný od: 29.10.2013 do: 28.06.2019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Starožitník, 11.9.2026 19:14:32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4"/>
        <w:framePr w:w="10766" w:h="8984" w:hRule="exact" w:wrap="none" w:vAnchor="page" w:hAnchor="margin" w:x="0" w:y="2154"/>
        <w:rPr>
          <w:rStyle w:val="C3"/>
          <w:rtl w:val="0"/>
        </w:rPr>
      </w:pPr>
    </w:p>
    <w:p>
      <w:pPr>
        <w:pStyle w:val="P25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6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3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3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83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zajistí ke zkoušce, tj. k ověření kompetencí podle tohoto hodnoticího standardu, ukázky prodejní a obchodní dokumentace a nejméně 7 kusů předmětů uměleckořemeslného nebo starožitného charakteru z různých materiálů. Každý předmět může být použit pro ověření i více kritérií.</w:t>
      </w:r>
    </w:p>
    <w:p>
      <w:pPr>
        <w:keepNext w:val="0"/>
        <w:keepLines w:val="0"/>
        <w:framePr w:w="10766" w:h="83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3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zajistí nejméně 2 měsíce před termínem zkoušky vylosování tématu písemné práce z následujících témat a zároveň specifikuje zadání tématu určením historického období nebo uměleckého slohu.</w:t>
      </w:r>
    </w:p>
    <w:p>
      <w:pPr>
        <w:keepNext w:val="0"/>
        <w:keepLines w:val="0"/>
        <w:framePr w:w="10766" w:h="83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Témata:</w:t>
      </w:r>
    </w:p>
    <w:p>
      <w:pPr>
        <w:keepNext w:val="0"/>
        <w:keepLines w:val="0"/>
        <w:framePr w:w="10766" w:h="83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1. Porcelán ‒ výroba, vývoj a zpracování </w:t>
      </w:r>
    </w:p>
    <w:p>
      <w:pPr>
        <w:keepNext w:val="0"/>
        <w:keepLines w:val="0"/>
        <w:framePr w:w="10766" w:h="83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2. Sklo ‒ výroba, vývoj a zpracování </w:t>
      </w:r>
    </w:p>
    <w:p>
      <w:pPr>
        <w:keepNext w:val="0"/>
        <w:keepLines w:val="0"/>
        <w:framePr w:w="10766" w:h="83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3. Kamenina a figurální předměty </w:t>
      </w:r>
    </w:p>
    <w:p>
      <w:pPr>
        <w:keepNext w:val="0"/>
        <w:keepLines w:val="0"/>
        <w:framePr w:w="10766" w:h="83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4. Nábytek, druhy, zpracování, užití </w:t>
      </w:r>
    </w:p>
    <w:p>
      <w:pPr>
        <w:keepNext w:val="0"/>
        <w:keepLines w:val="0"/>
        <w:framePr w:w="10766" w:h="83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5. Obecné a drahé kovy, jejich zpracování a užití </w:t>
      </w:r>
    </w:p>
    <w:p>
      <w:pPr>
        <w:keepNext w:val="0"/>
        <w:keepLines w:val="0"/>
        <w:framePr w:w="10766" w:h="83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6. Zbraně, druhy, vývoj, zpracování, užití </w:t>
      </w:r>
    </w:p>
    <w:p>
      <w:pPr>
        <w:keepNext w:val="0"/>
        <w:keepLines w:val="0"/>
        <w:framePr w:w="10766" w:h="83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7. Hodiny a hodinky v průběhu času </w:t>
      </w:r>
    </w:p>
    <w:p>
      <w:pPr>
        <w:keepNext w:val="0"/>
        <w:keepLines w:val="0"/>
        <w:framePr w:w="10766" w:h="83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8. Drahé kameny, jejich druhy a uplatnění ve špercích </w:t>
      </w:r>
    </w:p>
    <w:p>
      <w:pPr>
        <w:keepNext w:val="0"/>
        <w:keepLines w:val="0"/>
        <w:framePr w:w="10766" w:h="83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9. Móda (oblečení, doplňky), vývoj a užití s ohledem na časové období </w:t>
      </w:r>
    </w:p>
    <w:p>
      <w:pPr>
        <w:keepNext w:val="0"/>
        <w:keepLines w:val="0"/>
        <w:framePr w:w="10766" w:h="83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10. České výtvarné umění a jeho návaznost na světové trendy </w:t>
      </w:r>
    </w:p>
    <w:p>
      <w:pPr>
        <w:keepNext w:val="0"/>
        <w:keepLines w:val="0"/>
        <w:framePr w:w="10766" w:h="83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3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o zkoušku předloží autorizované osobě nejpozději 21 dní před termínem konání zkoušky podle tohoto hodnoticího standardu písemnou práci s následujícím určením:</w:t>
      </w:r>
    </w:p>
    <w:p>
      <w:pPr>
        <w:keepNext w:val="0"/>
        <w:keepLines w:val="0"/>
        <w:framePr w:w="10766" w:h="83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– Rozsah písemné práce: 7‒10 normovaných strojopisných stran formátu A4 </w:t>
      </w:r>
    </w:p>
    <w:p>
      <w:pPr>
        <w:keepNext w:val="0"/>
        <w:keepLines w:val="0"/>
        <w:framePr w:w="10766" w:h="83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– Příloha: obrazová dokumentace (mimo stanovený rozsah písemné práce) </w:t>
      </w:r>
    </w:p>
    <w:p>
      <w:pPr>
        <w:keepNext w:val="0"/>
        <w:keepLines w:val="0"/>
        <w:framePr w:w="10766" w:h="83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Použitá literatura: uvedena v závěru písemné práce</w:t>
      </w:r>
    </w:p>
    <w:p>
      <w:pPr>
        <w:keepNext w:val="0"/>
        <w:keepLines w:val="0"/>
        <w:framePr w:w="10766" w:h="83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– Uspořádání písemné práce: v deskách označených osobními údaji </w:t>
      </w:r>
    </w:p>
    <w:p>
      <w:pPr>
        <w:keepNext w:val="0"/>
        <w:keepLines w:val="0"/>
        <w:framePr w:w="10766" w:h="83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3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zajistí zpracování oponentního posudku písemné práce specialistou.</w:t>
      </w:r>
    </w:p>
    <w:p>
      <w:pPr>
        <w:keepNext w:val="0"/>
        <w:keepLines w:val="0"/>
        <w:framePr w:w="10766" w:h="83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3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úvodu zkoušky podle tohoto hodnoticího standardu bude probíhat obhajoba písemné práce na základě oponentního posudku.</w:t>
      </w:r>
    </w:p>
    <w:p>
      <w:pPr>
        <w:keepNext w:val="0"/>
        <w:keepLines w:val="0"/>
        <w:framePr w:w="10766" w:h="83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Starožitník, 11.9.2026 19:14:32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8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řemesla a umělecká řemesla, sekce uměleckořemeslná,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starožitníků, o. s.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Rudolfinea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Starožitník, 11.9.2026 19:14:32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left"/>
    </w:pPr>
  </w:style>
  <w:style w:type="paragraph" w:styleId="P23">
    <w:name w:val="ParagraphStyle22"/>
    <w:hidden/>
    <w:pPr>
      <w:bidi w:val="0"/>
      <w:jc w:val="right"/>
    </w:pPr>
  </w:style>
  <w:style w:type="paragraph" w:styleId="P24">
    <w:name w:val="ParagraphStyle23"/>
    <w:hidden/>
    <w:pPr>
      <w:shd w:val="clear" w:fill="auto"/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