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125B797" Type="http://schemas.openxmlformats.org/officeDocument/2006/relationships/officeDocument" Target="/word/document.xml" /><Relationship Id="coreR1125B797" Type="http://schemas.openxmlformats.org/package/2006/relationships/metadata/core-properties" Target="/docProps/core.xml" /><Relationship Id="customR1125B79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Starožitník/starožitnice (kód: 66-022-M)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Starožitník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01.03.2023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Starožitník/starožitnice, 11.9.2026 20:29:22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Starožitník (kód: 82-48-L/01) lze být připuštěn po předložení osvědčení o získání některé z uvedených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29.10.2013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Starožitník/starožitnice (kód: 66-022-M)</w:t>
      </w:r>
    </w:p>
    <w:p>
      <w:pPr>
        <w:pStyle w:val="P6"/>
        <w:framePr w:w="10710" w:h="113" w:hRule="exact" w:wrap="none" w:vAnchor="page" w:hAnchor="margin" w:x="28" w:y="428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4623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076"/>
        <w:rPr>
          <w:rStyle w:val="C16"/>
          <w:rtl w:val="0"/>
        </w:rPr>
      </w:pPr>
      <w:r>
        <w:rPr>
          <w:rStyle w:val="C16"/>
          <w:rtl w:val="0"/>
        </w:rPr>
        <w:t>Platnost od 29.10.2013 do neomezeně</w:t>
      </w:r>
    </w:p>
    <w:p>
      <w:pPr>
        <w:pStyle w:val="P12"/>
        <w:framePr w:w="10710" w:h="478" w:hRule="exact" w:wrap="none" w:vAnchor="page" w:hAnchor="margin" w:x="28" w:y="5324"/>
        <w:rPr>
          <w:rStyle w:val="C13"/>
          <w:rtl w:val="0"/>
        </w:rPr>
      </w:pPr>
      <w:r>
        <w:rPr>
          <w:rStyle w:val="C13"/>
          <w:rtl w:val="0"/>
        </w:rPr>
        <w:t>Úplnou profesní kvalifikaci Starožitník (kód: 66-99-M/02) lze prokázat předložením osvědčení o získání některé z uvedených profesních kvalifikací:</w:t>
      </w:r>
    </w:p>
    <w:p>
      <w:pPr>
        <w:pStyle w:val="P13"/>
        <w:framePr w:w="398" w:h="268" w:hRule="exact" w:wrap="none" w:vAnchor="page" w:hAnchor="margin" w:x="28" w:y="591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916"/>
        <w:rPr>
          <w:rStyle w:val="C15"/>
          <w:rtl w:val="0"/>
        </w:rPr>
      </w:pPr>
      <w:r>
        <w:rPr>
          <w:rStyle w:val="C15"/>
          <w:rtl w:val="0"/>
        </w:rPr>
        <w:t>Platnost od 29.10.2013 do neomezeně</w:t>
      </w:r>
    </w:p>
    <w:p>
      <w:pPr>
        <w:pStyle w:val="P12"/>
        <w:framePr w:w="10256" w:h="248" w:hRule="exact" w:wrap="none" w:vAnchor="page" w:hAnchor="margin" w:x="482" w:y="6184"/>
        <w:rPr>
          <w:rStyle w:val="C13"/>
          <w:rtl w:val="0"/>
        </w:rPr>
      </w:pPr>
      <w:r>
        <w:rPr>
          <w:rStyle w:val="C13"/>
          <w:rtl w:val="0"/>
        </w:rPr>
        <w:t>Starožitník/starožitnice (kód: 66-022-M)</w:t>
      </w:r>
    </w:p>
    <w:p>
      <w:pPr>
        <w:pStyle w:val="P6"/>
        <w:framePr w:w="10710" w:h="113" w:hRule="exact" w:wrap="none" w:vAnchor="page" w:hAnchor="margin" w:x="28" w:y="643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658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6999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7055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6999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7055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7360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7416"/>
        <w:rPr>
          <w:rStyle w:val="C18"/>
          <w:rtl w:val="0"/>
        </w:rPr>
      </w:pPr>
      <w:r>
        <w:rPr>
          <w:rStyle w:val="C18"/>
          <w:rtl w:val="0"/>
        </w:rPr>
        <w:t>Starožitník</w:t>
      </w:r>
    </w:p>
    <w:p>
      <w:pPr>
        <w:pStyle w:val="P20"/>
        <w:framePr w:w="5338" w:h="376" w:hRule="exact" w:wrap="none" w:vAnchor="page" w:hAnchor="margin" w:x="5383" w:y="7360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7416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Starožitník/starožitnice, 11.9.2026 20:29:22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