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7DBA142" Type="http://schemas.openxmlformats.org/officeDocument/2006/relationships/officeDocument" Target="/word/document.xml" /><Relationship Id="coreR47DBA142" Type="http://schemas.openxmlformats.org/package/2006/relationships/metadata/core-properties" Target="/docProps/core.xml" /><Relationship Id="customR47DBA14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Starožitník (kód: 66-022-M)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Obchod (kód: 66)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Starožitník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Komunikace se zákazníkem s využitím odborných znalostí z dějin umění a užitého umění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Předvedení starožitného zboží před zákazníkem, určení doby vzniku, materiálového a technologického zpracování, užití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Vedení obchodní a prodejní dokumentace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Přijímání hotovostních a bezhotovostních plateb a obsluha pokladny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Ošetřování a uložení zboží z hlediska různého starožitného sortimentu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Využívání výpočetní techniky a internetu k prodeji v kamenných obchodech a e-shopech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 xml:space="preserve">Balení a expedice zboží s ohledem na jedinečnost sortimentu  v provozovně starožitnictví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Aranžování zboží na prodejně, prodejních výstavách, veletrzích a aukcích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Komunikace s úřady, práce s legislativou a obecně platnými předpisy, uplatňování pravidel vývozu a dovozu zboží v rámci EU a mimo ni</w:t>
      </w:r>
    </w:p>
    <w:p>
      <w:pPr>
        <w:pStyle w:val="P14"/>
        <w:framePr w:w="805" w:h="607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20"/>
        <w:framePr w:w="9826" w:h="376" w:hRule="exact" w:wrap="none" w:vAnchor="page" w:hAnchor="margin" w:x="45" w:y="9467"/>
        <w:rPr>
          <w:rStyle w:val="C3"/>
          <w:rtl w:val="0"/>
        </w:rPr>
      </w:pPr>
    </w:p>
    <w:p>
      <w:pPr>
        <w:pStyle w:val="P20"/>
        <w:keepNext w:val="0"/>
        <w:keepLines w:val="0"/>
        <w:framePr w:w="9826" w:h="376" w:hRule="exact" w:wrap="none" w:vAnchor="page" w:hAnchor="margin" w:x="45" w:y="946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  <w:divId w:val="0"/>
        <w:rPr>
          <w:rStyle w:val="C3"/>
          <w:rFonts w:ascii="Times New Roman" w:cs="Times New Roman" w:hAnsi="Times New Roman" w:eastAsia="Times New Roman"/>
          <w:b w:val="0"/>
          <w:i w:val="0"/>
          <w: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/>
        </w:rPr>
      </w:pPr>
      <w:r>
        <w:rPr>
          <w:rStyle w:val="C3"/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Výběr předmětů k opravám a restaurování</w:t>
      </w:r>
    </w:p>
    <w:p>
      <w:pPr>
        <w:pStyle w:val="P18"/>
        <w:framePr w:w="805" w:h="376" w:hRule="exact" w:wrap="none" w:vAnchor="page" w:hAnchor="margin" w:x="9916" w:y="9467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523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984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899"/>
        <w:rPr>
          <w:rStyle w:val="C11"/>
          <w:rtl w:val="0"/>
        </w:rPr>
      </w:pPr>
      <w:r>
        <w:rPr>
          <w:rStyle w:val="C11"/>
          <w:rtl w:val="0"/>
        </w:rPr>
        <w:t>Kvalitativní a kvantitativní posuzování zboží při výkupu</w:t>
      </w:r>
    </w:p>
    <w:p>
      <w:pPr>
        <w:pStyle w:val="P14"/>
        <w:framePr w:w="805" w:h="376" w:hRule="exact" w:wrap="none" w:vAnchor="page" w:hAnchor="margin" w:x="9916" w:y="984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89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1021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275"/>
        <w:rPr>
          <w:rStyle w:val="C13"/>
          <w:rtl w:val="0"/>
        </w:rPr>
      </w:pPr>
      <w:r>
        <w:rPr>
          <w:rStyle w:val="C13"/>
          <w:rtl w:val="0"/>
        </w:rPr>
        <w:t>Výkup starožitností, orientace v komisním a aukčním prodeji</w:t>
      </w:r>
    </w:p>
    <w:p>
      <w:pPr>
        <w:pStyle w:val="P18"/>
        <w:framePr w:w="805" w:h="376" w:hRule="exact" w:wrap="none" w:vAnchor="page" w:hAnchor="margin" w:x="9916" w:y="1021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27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1082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1"/>
        <w:framePr w:w="4283" w:h="248" w:hRule="exact" w:wrap="none" w:vAnchor="page" w:hAnchor="margin" w:x="28" w:y="11163"/>
        <w:rPr>
          <w:rStyle w:val="C15"/>
          <w:rtl w:val="0"/>
        </w:rPr>
      </w:pPr>
      <w:r>
        <w:rPr>
          <w:rStyle w:val="C15"/>
          <w:rtl w:val="0"/>
        </w:rPr>
        <w:t>Standard je platný od: 29.04.2019 do: 20.10.2022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Starožitník, 11.9.2026 18:32:04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4"/>
        <w:framePr w:w="10766" w:h="10212" w:hRule="exact" w:wrap="none" w:vAnchor="page" w:hAnchor="margin" w:x="0" w:y="2154"/>
        <w:rPr>
          <w:rStyle w:val="C3"/>
          <w:rtl w:val="0"/>
        </w:rPr>
      </w:pPr>
    </w:p>
    <w:p>
      <w:pPr>
        <w:pStyle w:val="P25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6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95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95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vykonání zkoušky není vyžadována.</w:t>
      </w:r>
    </w:p>
    <w:p>
      <w:pPr>
        <w:keepNext w:val="0"/>
        <w:keepLines w:val="0"/>
        <w:framePr w:w="10766" w:h="95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5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Součástí ověřováníní odborných kompetencí podle tohoto hodnoticího standardu je zpracování a obhajoba písemné práce v rámci odborné způsobilosti Předvedení starožitného zboží před zákazníkem, určení doby vzniku, materiálového a technologického zpracování, užití.</w:t>
      </w:r>
    </w:p>
    <w:p>
      <w:pPr>
        <w:keepNext w:val="0"/>
        <w:keepLines w:val="0"/>
        <w:framePr w:w="10766" w:h="95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5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zajistí uchazeči zadání písemné práce 2 měsíce před termínem zkoušky, tzn. uchazeč si vylosuje 1 téma písemné práce z následujícího seznamu témat a zároveň po dohodě s autorizovanou osobou specifikuje zadání tématu určením historického období a uměleckého slohu. </w:t>
      </w:r>
    </w:p>
    <w:p>
      <w:pPr>
        <w:keepNext w:val="0"/>
        <w:keepLines w:val="0"/>
        <w:framePr w:w="10766" w:h="95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Seznam témat:</w:t>
      </w:r>
    </w:p>
    <w:p>
      <w:pPr>
        <w:keepNext w:val="0"/>
        <w:keepLines w:val="1"/>
        <w:framePr w:w="10766" w:h="9532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Porcelán, jeho výroba, vývoj a zpracování </w:t>
      </w:r>
    </w:p>
    <w:p>
      <w:pPr>
        <w:keepNext w:val="0"/>
        <w:keepLines w:val="1"/>
        <w:framePr w:w="10766" w:h="9532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Sklo, jeho výroba, vývoj a zpracování </w:t>
      </w:r>
    </w:p>
    <w:p>
      <w:pPr>
        <w:keepNext w:val="0"/>
        <w:keepLines w:val="1"/>
        <w:framePr w:w="10766" w:h="9532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Kamenina a figurální předměty </w:t>
      </w:r>
    </w:p>
    <w:p>
      <w:pPr>
        <w:keepNext w:val="0"/>
        <w:keepLines w:val="1"/>
        <w:framePr w:w="10766" w:h="9532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Nábytek, jeho druhy, zpracování, užití </w:t>
      </w:r>
    </w:p>
    <w:p>
      <w:pPr>
        <w:keepNext w:val="0"/>
        <w:keepLines w:val="1"/>
        <w:framePr w:w="10766" w:h="9532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Obecné a drahé kovy, jejich zpracování a užití </w:t>
      </w:r>
    </w:p>
    <w:p>
      <w:pPr>
        <w:keepNext w:val="0"/>
        <w:keepLines w:val="1"/>
        <w:framePr w:w="10766" w:h="9532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Zbraně, jejich druhy, vývoj, zpracování, užití </w:t>
      </w:r>
    </w:p>
    <w:p>
      <w:pPr>
        <w:keepNext w:val="0"/>
        <w:keepLines w:val="1"/>
        <w:framePr w:w="10766" w:h="9532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Hodiny a hodinky v průběhu času </w:t>
      </w:r>
    </w:p>
    <w:p>
      <w:pPr>
        <w:keepNext w:val="0"/>
        <w:keepLines w:val="1"/>
        <w:framePr w:w="10766" w:h="9532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Drahé kameny, jejich druhy a uplatnění ve špercích </w:t>
      </w:r>
    </w:p>
    <w:p>
      <w:pPr>
        <w:keepNext w:val="0"/>
        <w:keepLines w:val="1"/>
        <w:framePr w:w="10766" w:h="9532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Móda (oblečení, doplňky), vývoj a užití s ohledem na časové období </w:t>
      </w:r>
    </w:p>
    <w:p>
      <w:pPr>
        <w:keepNext w:val="0"/>
        <w:keepLines w:val="1"/>
        <w:framePr w:w="10766" w:h="9532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České výtvarné umění a jeho návaznost na světové trendy </w:t>
      </w:r>
    </w:p>
    <w:p>
      <w:pPr>
        <w:keepNext w:val="0"/>
        <w:keepLines w:val="0"/>
        <w:framePr w:w="10766" w:h="95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5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o zkoušku předloží autorizované osobě nejpozději 21 dní před termínem konání zkoušky podle tohoto hodnoticího standardu písemnou práci v elektronické a tištěné podobě s následujícími náležitostmi:</w:t>
      </w:r>
    </w:p>
    <w:p>
      <w:pPr>
        <w:keepNext w:val="0"/>
        <w:keepLines w:val="1"/>
        <w:framePr w:w="10766" w:h="9532" w:hRule="exact" w:wrap="none" w:vAnchor="page" w:hAnchor="margin" w:x="0" w:y="283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•Rozsah písemné práce: 7‒10 normovaných strojopisných stran formátu A4 </w:t>
      </w:r>
    </w:p>
    <w:p>
      <w:pPr>
        <w:keepNext w:val="0"/>
        <w:keepLines w:val="1"/>
        <w:framePr w:w="10766" w:h="9532" w:hRule="exact" w:wrap="none" w:vAnchor="page" w:hAnchor="margin" w:x="0" w:y="283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•Příloha: obrazová dokumentace (mimo stanovený rozsah písemné práce) </w:t>
      </w:r>
    </w:p>
    <w:p>
      <w:pPr>
        <w:keepNext w:val="0"/>
        <w:keepLines w:val="1"/>
        <w:framePr w:w="10766" w:h="9532" w:hRule="exact" w:wrap="none" w:vAnchor="page" w:hAnchor="margin" w:x="0" w:y="283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•Použitá literatura: její uvedení v závěru písemné práce</w:t>
      </w:r>
    </w:p>
    <w:p>
      <w:pPr>
        <w:keepNext w:val="0"/>
        <w:keepLines w:val="0"/>
        <w:framePr w:w="10766" w:h="95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5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5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zajistí ke zkoušce, tj. k ověření všech odborných kompetencí podle tohoto hodnoticího standardu:</w:t>
      </w:r>
    </w:p>
    <w:p>
      <w:pPr>
        <w:keepNext w:val="0"/>
        <w:keepLines w:val="1"/>
        <w:framePr w:w="10766" w:h="9532" w:hRule="exact" w:wrap="none" w:vAnchor="page" w:hAnchor="margin" w:x="0" w:y="2835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•ukázky prodejní a obchodní dokumentace</w:t>
      </w:r>
    </w:p>
    <w:p>
      <w:pPr>
        <w:keepNext w:val="0"/>
        <w:keepLines w:val="1"/>
        <w:framePr w:w="10766" w:h="9532" w:hRule="exact" w:wrap="none" w:vAnchor="page" w:hAnchor="margin" w:x="0" w:y="2835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•nejméně 7 kusů předmětů uměleckořemeslného nebo starožitného charakteru z různých materiálů (nábytek, sklo, porcelán a keramika, šperk, předmět z kovu a textilu, výtvarné umění), každý předmět lze použít pro ověření více kritérií (určení doby vzniku, ošetření a uložení zboží, balení a aranžování, výběr předmětů k opravám a restaurování).</w:t>
      </w:r>
    </w:p>
    <w:p>
      <w:pPr>
        <w:keepNext w:val="0"/>
        <w:keepLines w:val="0"/>
        <w:framePr w:w="10766" w:h="95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Starožitník, 11.9.2026 18:32:04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8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řemesla a umělecká řemesla, sekce uměleckořemeslná,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Rudolfinea, o. s. - sdružení pro umělecká řemesla, Roztoky u Prahy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Lipský Jan, Ing.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Červená Milena, Mgr. 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Muller Štěpán, MgA.,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Hokeová Klára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Starožitník, 11.9.2026 18:32:04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5E342806"/>
    <w:multiLevelType w:val="hybridMultilevel"/>
    <w:lvl w:ilvl="0" w:tplc="00000100">
      <w:start w:val="1"/>
      <w:numFmt w:val="decimal"/>
      <w:suff w:val="tab"/>
      <w:lvlText w:val="%1)"/>
      <w:lvlJc w:val="left"/>
      <w:pPr>
        <w:widowControl w:val="0"/>
        <w:ind w:hanging="360" w:left="360"/>
      </w:pPr>
      <w:rPr>
        <w:rFonts w:ascii="Arial" w:cs="Arial" w:hAnsi="Arial" w:eastAsia="Arial"/>
      </w:rPr>
    </w:lvl>
    <w:lvl w:ilvl="1" w:tplc="00000101">
      <w:start w:val="1"/>
      <w:numFmt w:val="decimal"/>
      <w:suff w:val="tab"/>
      <w:lvlText w:val="%2)"/>
      <w:lvlJc w:val="left"/>
      <w:pPr>
        <w:widowControl w:val="0"/>
        <w:ind w:hanging="360" w:left="720"/>
      </w:pPr>
      <w:rPr>
        <w:rFonts w:ascii="Arial" w:cs="Arial" w:hAnsi="Arial" w:eastAsia="Arial"/>
      </w:rPr>
    </w:lvl>
    <w:lvl w:ilvl="2" w:tplc="00000102">
      <w:start w:val="1"/>
      <w:numFmt w:val="decimal"/>
      <w:suff w:val="tab"/>
      <w:lvlText w:val="%3)"/>
      <w:lvlJc w:val="left"/>
      <w:pPr>
        <w:widowControl w:val="0"/>
        <w:ind w:hanging="360" w:left="1080"/>
      </w:pPr>
      <w:rPr>
        <w:rFonts w:ascii="Arial" w:cs="Arial" w:hAnsi="Arial" w:eastAsia="Arial"/>
      </w:rPr>
    </w:lvl>
    <w:lvl w:ilvl="3" w:tplc="00000103">
      <w:start w:val="1"/>
      <w:numFmt w:val="decimal"/>
      <w:suff w:val="tab"/>
      <w:lvlText w:val="%4)"/>
      <w:lvlJc w:val="left"/>
      <w:pPr>
        <w:widowControl w:val="0"/>
        <w:ind w:hanging="360" w:left="1440"/>
      </w:pPr>
      <w:rPr>
        <w:rFonts w:ascii="Arial" w:cs="Arial" w:hAnsi="Arial" w:eastAsia="Arial"/>
      </w:rPr>
    </w:lvl>
    <w:lvl w:ilvl="4" w:tplc="00000104">
      <w:start w:val="1"/>
      <w:numFmt w:val="decimal"/>
      <w:suff w:val="tab"/>
      <w:lvlText w:val="%5)"/>
      <w:lvlJc w:val="left"/>
      <w:pPr>
        <w:widowControl w:val="0"/>
        <w:ind w:hanging="360" w:left="1800"/>
      </w:pPr>
      <w:rPr>
        <w:rFonts w:ascii="Arial" w:cs="Arial" w:hAnsi="Arial" w:eastAsia="Arial"/>
      </w:rPr>
    </w:lvl>
    <w:lvl w:ilvl="5" w:tplc="00000105">
      <w:start w:val="1"/>
      <w:numFmt w:val="decimal"/>
      <w:suff w:val="tab"/>
      <w:lvlText w:val="%6)"/>
      <w:lvlJc w:val="left"/>
      <w:pPr>
        <w:widowControl w:val="0"/>
        <w:ind w:hanging="360" w:left="2160"/>
      </w:pPr>
      <w:rPr>
        <w:rFonts w:ascii="Arial" w:cs="Arial" w:hAnsi="Arial" w:eastAsia="Arial"/>
      </w:rPr>
    </w:lvl>
    <w:lvl w:ilvl="6" w:tplc="00000106">
      <w:start w:val="1"/>
      <w:numFmt w:val="decimal"/>
      <w:suff w:val="tab"/>
      <w:lvlText w:val="%7)"/>
      <w:lvlJc w:val="left"/>
      <w:pPr>
        <w:widowControl w:val="0"/>
        <w:ind w:hanging="360" w:left="2520"/>
      </w:pPr>
      <w:rPr>
        <w:rFonts w:ascii="Arial" w:cs="Arial" w:hAnsi="Arial" w:eastAsia="Arial"/>
      </w:rPr>
    </w:lvl>
    <w:lvl w:ilvl="7" w:tplc="00000107">
      <w:start w:val="1"/>
      <w:numFmt w:val="decimal"/>
      <w:suff w:val="tab"/>
      <w:lvlText w:val="%8)"/>
      <w:lvlJc w:val="left"/>
      <w:pPr>
        <w:widowControl w:val="0"/>
        <w:ind w:hanging="360" w:left="2880"/>
      </w:pPr>
      <w:rPr>
        <w:rFonts w:ascii="Arial" w:cs="Arial" w:hAnsi="Arial" w:eastAsia="Arial"/>
      </w:rPr>
    </w:lvl>
    <w:lvl w:ilvl="8" w:tplc="00000108">
      <w:start w:val="1"/>
      <w:numFmt w:val="decimal"/>
      <w:suff w:val="tab"/>
      <w:lvlText w:val="%9)"/>
      <w:lvlJc w:val="left"/>
      <w:pPr>
        <w:widowControl w:val="0"/>
        <w:ind w:hanging="360" w:left="3240"/>
      </w:pPr>
      <w:rPr>
        <w:rFonts w:ascii="Arial" w:cs="Arial" w:hAnsi="Arial" w:eastAsia="Arial"/>
      </w:rPr>
    </w:lvl>
  </w:abstractNum>
  <w:abstractNum w:abstractNumId="1">
    <w:nsid w:val="11687E88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2">
    <w:nsid w:val="514F568D"/>
    <w:multiLevelType w:val="hybridMultilevel"/>
    <w:lvl w:ilvl="0" w:tplc="00000112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3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4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5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6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17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18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9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A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left"/>
    </w:pPr>
  </w:style>
  <w:style w:type="paragraph" w:styleId="P23">
    <w:name w:val="ParagraphStyle22"/>
    <w:hidden/>
    <w:pPr>
      <w:bidi w:val="0"/>
      <w:jc w:val="right"/>
    </w:pPr>
  </w:style>
  <w:style w:type="paragraph" w:styleId="P24">
    <w:name w:val="ParagraphStyle23"/>
    <w:hidden/>
    <w:pPr>
      <w:shd w:val="clear" w:fill="auto"/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