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8C2AF" Type="http://schemas.openxmlformats.org/officeDocument/2006/relationships/officeDocument" Target="/word/document.xml" /><Relationship Id="coreR68C8C2AF" Type="http://schemas.openxmlformats.org/package/2006/relationships/metadata/core-properties" Target="/docProps/core.xml" /><Relationship Id="customR68C8C2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šablon pro tažení architektonických prvků pro interiéry a exteriéry stavebně historických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Sesazení a modelace štukových slohových prvků a modelů z tažených sádrových profilů do lukoprénových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modelování plastických prvků štukatérské výzdoby podle předlohy nebo výtvarného návrhu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štukatérské výzdoby v interiéru a exteriéru budov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štukových, sgrafitových a jiných dekoračních omítek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Vytvoření modelu balustrádní kuželky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