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A3D969" Type="http://schemas.openxmlformats.org/officeDocument/2006/relationships/officeDocument" Target="/word/document.xml" /><Relationship Id="coreRBA3D969" Type="http://schemas.openxmlformats.org/package/2006/relationships/metadata/core-properties" Target="/docProps/core.xml" /><Relationship Id="customRBA3D9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a materiálů pro štukatérské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forem pro štukatérskou práci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Sesazení a modelace štukových slohových prvků a modelů z tažených sádrových profilů do lukoprénových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modelování plastických prvků štukatérské výzdoby podle předlohy nebo výtvarného návrhu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štukatérské výzdoby v interiéru a exteriéru budov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štukových, sgrafitových a jiných dekoračních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vhodného druhu formy pro vytvoření modelu balustrádní kuželky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29.10.2026 0:02:11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https://www.nsp.cz/jednotka-prace/umelecky-stukater#zdravotni-zpusobilost).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29.10.2026 0:02:11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Janík – OSVČ, umělecký štukatér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29.10.2026 0:02:11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