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01E1FA" Type="http://schemas.openxmlformats.org/officeDocument/2006/relationships/officeDocument" Target="/word/document.xml" /><Relationship Id="coreR7D01E1FA" Type="http://schemas.openxmlformats.org/package/2006/relationships/metadata/core-properties" Target="/docProps/core.xml" /><Relationship Id="customR7D01E1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Elektrotechnik/elektrotechnička měřicích přístrojů, 30.7.2026 2:41:17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30.7.2026 2:41:17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30.7.2026 2:41:17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30.7.2026 2:41:17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30.7.2026 2:41:17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měřicích přístrojů, 30.7.2026 2:41:17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měřicích přístrojů, 30.7.2026 2:41:17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měřicích přístrojů, 30.7.2026 2:41:17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pStyle w:val="P21"/>
        <w:framePr w:w="7654" w:h="331" w:hRule="exact" w:wrap="none" w:vAnchor="page" w:hAnchor="margin" w:x="28" w:y="15940"/>
        <w:rPr>
          <w:rStyle w:val="C16"/>
          <w:rtl w:val="0"/>
        </w:rPr>
      </w:pPr>
      <w:r>
        <w:rPr>
          <w:rStyle w:val="C16"/>
          <w:rtl w:val="0"/>
        </w:rPr>
        <w:t>Elektrotechnik/elektrotechnička měřicích přístrojů, 30.7.2026 2:41:17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3C83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427C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1EFE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