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246F137" Type="http://schemas.openxmlformats.org/officeDocument/2006/relationships/officeDocument" Target="/word/document.xml" /><Relationship Id="coreR3246F137" Type="http://schemas.openxmlformats.org/package/2006/relationships/metadata/core-properties" Target="/docProps/core.xml" /><Relationship Id="customR3246F13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Správce tiskových dat (kód: 34-036-H)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Správce tiskových dat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Vstupní kontrola textových a obrazových podkladů na přenosných médiích, datových souborů z Internetu, originálů pro reprodukci z hlediska normativů pro reprodukci a zpracování v DTP studiu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Komunikace a výměna obrazových a textových podkladů ve spolupráci s grafickým studiem a zadavatelem zakázky</w:t>
      </w:r>
    </w:p>
    <w:p>
      <w:pPr>
        <w:pStyle w:val="P18"/>
        <w:framePr w:w="805" w:h="607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83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889"/>
        <w:rPr>
          <w:rStyle w:val="C11"/>
          <w:rtl w:val="0"/>
        </w:rPr>
      </w:pPr>
      <w:r>
        <w:rPr>
          <w:rStyle w:val="C11"/>
          <w:rtl w:val="0"/>
        </w:rPr>
        <w:t>Orientace v normách a platných typografických pravidlech sazby, úprav a zlomu textů</w:t>
      </w:r>
    </w:p>
    <w:p>
      <w:pPr>
        <w:pStyle w:val="P14"/>
        <w:framePr w:w="805" w:h="376" w:hRule="exact" w:wrap="none" w:vAnchor="page" w:hAnchor="margin" w:x="9916" w:y="683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88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Zhotovování komplexních elektronických tiskových podkladů pro výrobu tiskových forem s využitím grafických počítačových programů</w:t>
      </w:r>
    </w:p>
    <w:p>
      <w:pPr>
        <w:pStyle w:val="P18"/>
        <w:framePr w:w="805" w:h="607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816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872"/>
        <w:rPr>
          <w:rStyle w:val="C11"/>
          <w:rtl w:val="0"/>
        </w:rPr>
      </w:pPr>
      <w:r>
        <w:rPr>
          <w:rStyle w:val="C11"/>
          <w:rtl w:val="0"/>
        </w:rPr>
        <w:t>Uplatňování norem ISO popisujících výměnu tiskových CMYK dat ve formátu PDF a normách definujících procesní požadavky na ofsetový litografický proces</w:t>
      </w:r>
    </w:p>
    <w:p>
      <w:pPr>
        <w:pStyle w:val="P14"/>
        <w:framePr w:w="805" w:h="607" w:hRule="exact" w:wrap="none" w:vAnchor="page" w:hAnchor="margin" w:x="9916" w:y="7816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87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2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479"/>
        <w:rPr>
          <w:rStyle w:val="C13"/>
          <w:rtl w:val="0"/>
        </w:rPr>
      </w:pPr>
      <w:r>
        <w:rPr>
          <w:rStyle w:val="C13"/>
          <w:rtl w:val="0"/>
        </w:rPr>
        <w:t>Archivování a vedení kompletní dokumentace tiskové zakázky</w:t>
      </w:r>
    </w:p>
    <w:p>
      <w:pPr>
        <w:pStyle w:val="P18"/>
        <w:framePr w:w="805" w:h="376" w:hRule="exact" w:wrap="none" w:vAnchor="page" w:hAnchor="margin" w:x="9916" w:y="842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47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02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366"/>
        <w:rPr>
          <w:rStyle w:val="C15"/>
          <w:rtl w:val="0"/>
        </w:rPr>
      </w:pPr>
      <w:r>
        <w:rPr>
          <w:rStyle w:val="C15"/>
          <w:rtl w:val="0"/>
        </w:rPr>
        <w:t>Standard je platný od: 05.02.2019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Správce tiskových dat, 11.9.2026 19:15:17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92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s ohledem na 2. stupeň zátěže (odkaz na povolání v NSP – https://www.nsp.cz/jednotka-prace/spravce-tiskovych-dat#zdravotni-zpusobilost), dále se musí uchazeč prokázat lékařským potvrzením, že netrpí poruchou barvocitu (poruchou barevného vidění).</w:t>
      </w:r>
    </w:p>
    <w:p>
      <w:pPr>
        <w:keepNext w:val="0"/>
        <w:keepLines w:val="0"/>
        <w:framePr w:w="10766" w:h="8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stanovených kompetencí je nutno prověřovat v rámci systémového řízení kvality předtiskové přípravy a opírá se o tyto normy:</w:t>
      </w:r>
    </w:p>
    <w:p>
      <w:pPr>
        <w:keepNext w:val="0"/>
        <w:keepLines w:val="0"/>
        <w:framePr w:w="10766" w:h="8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15 930-3 Přejímka a zpracování tiskových dat</w:t>
      </w:r>
    </w:p>
    <w:p>
      <w:pPr>
        <w:keepNext w:val="0"/>
        <w:keepLines w:val="0"/>
        <w:framePr w:w="10766" w:h="8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12 646 Displeje pro kontrolní nátisk</w:t>
      </w:r>
    </w:p>
    <w:p>
      <w:pPr>
        <w:keepNext w:val="0"/>
        <w:keepLines w:val="0"/>
        <w:framePr w:w="10766" w:h="8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12 647-1 Výroba tiskové formy</w:t>
      </w:r>
    </w:p>
    <w:p>
      <w:pPr>
        <w:keepNext w:val="0"/>
        <w:keepLines w:val="0"/>
        <w:framePr w:w="10766" w:h="8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12 647-2 Ofset</w:t>
      </w:r>
    </w:p>
    <w:p>
      <w:pPr>
        <w:keepNext w:val="0"/>
        <w:keepLines w:val="0"/>
        <w:framePr w:w="10766" w:h="8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12 647-3 Novinový tisk ofsetem</w:t>
      </w:r>
    </w:p>
    <w:p>
      <w:pPr>
        <w:keepNext w:val="0"/>
        <w:keepLines w:val="0"/>
        <w:framePr w:w="10766" w:h="8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12 647-6 Flexotisk</w:t>
      </w:r>
    </w:p>
    <w:p>
      <w:pPr>
        <w:keepNext w:val="0"/>
        <w:keepLines w:val="0"/>
        <w:framePr w:w="10766" w:h="8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12 647-7 Digitální kontrolní nátisk</w:t>
      </w:r>
    </w:p>
    <w:p>
      <w:pPr>
        <w:keepNext w:val="0"/>
        <w:keepLines w:val="0"/>
        <w:framePr w:w="10766" w:h="8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stanovených kompetencí spočívá v prověření způsobilosti uchazeče vykonat zadanou operaci podle stanoveného technologického (pracovního) postupu, správně vykonávat činnosti spojené s obsluhou a základní údržbou příslušných strojů včetně provedení dokončovacích prací a provádění běžných výpočtů.</w:t>
      </w:r>
    </w:p>
    <w:p>
      <w:pPr>
        <w:keepNext w:val="0"/>
        <w:keepLines w:val="0"/>
        <w:framePr w:w="10766" w:h="8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úkolů založených na formě praktického předvedení je třeba přihlížet především k pravidlům BOZP a PO v rámci provádění všech úkonů, ke kvalitě zhotoveného produktu.</w:t>
      </w:r>
    </w:p>
    <w:p>
      <w:pPr>
        <w:keepNext w:val="0"/>
        <w:keepLines w:val="0"/>
        <w:framePr w:w="10766" w:h="8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Zhotovování komplexních elektronických tiskových podkladů pro výrobu tiskových forem s využitím grafických počítačových programů je uchazeči umožněna volitelnost kritérií pro vybranou tiskovou techniku, která nejvíce odpovídá potřebám a zkušenostem uchazeče. </w:t>
      </w:r>
    </w:p>
    <w:p>
      <w:pPr>
        <w:keepNext w:val="0"/>
        <w:keepLines w:val="0"/>
        <w:framePr w:w="10766" w:h="8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sdělí a nejpozději s pozvánkou zašle uchazeči informaci, která z kritérií b), c) nebo d) u této kompetence lze s ohledem na technické a technologické podmínky autorizované osoby ověřovat a informaci, zda ověřování jednotlivých kritérií proběhne v provozním nebo v simulovaném prostředí. Z variant, které umožňuje jak tento hodnoticí standard, tak podmínky autorizované osoby, si uchazeč vybere jednu tiskovou techniku. O vybrané tiskové technice (případně o vybraných variantách b), c) nebo d) u kompetence Zhotovování komplexních elektronických tiskových podkladů pro výrobu tiskových forem s využitím grafických počítačových programů – budou-li všechny tři varianty umožněny autorizovanou osobou) informuje uchazeč autorizovanou osobu, a to nejpozději v termínu, který uvede autorizovaná osoba na pozvánce.</w:t>
      </w:r>
    </w:p>
    <w:p>
      <w:pPr>
        <w:keepNext w:val="0"/>
        <w:keepLines w:val="0"/>
        <w:framePr w:w="10766" w:h="824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Správce tiskových dat, 11.9.2026 19:15:17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polygrafii, média a informační služby, ustavená a licencovaná pro tuto činnost HK ČR a SP ČR.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VOŠ grafická a SPŠ grafická, Praha 1, Hellichova 22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polygrafických podnikatelů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Společnost tisku při ČVTS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Studio Najbrt, s. r. o.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Ondřej Žáček (OSVČ)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Správce tiskových dat, 11.9.2026 19:15:17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