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B4A76" Type="http://schemas.openxmlformats.org/officeDocument/2006/relationships/officeDocument" Target="/word/document.xml" /><Relationship Id="coreR614B4A76" Type="http://schemas.openxmlformats.org/package/2006/relationships/metadata/core-properties" Target="/docProps/core.xml" /><Relationship Id="customR614B4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Koordinace a kalibrování osvitové jednotky pro přímé zhotovení tiskových forem s využitím příslušných počítačových programů a norem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Obsluha řídicí jednotky pro přímé zhotovení tiskových forem, včetně periférií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zařízení pro přímé zhotovení tiskových forem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vyvolávací linky, včetně finálních úprav tiskových forem dle dané tiskové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forem, Koordinace a kalibrování osvitové jednotky pro přímé zhotovení tiskových forem s využitím příslušných počítačových programů a norem, Obsluha řídicí jednotky pro přímé zhotovení tiskových forem, včetně periférií, Obsluha zařízení pro přímé zhotovení tiskových forem a Obsluha vyvolávací linky, včetně finálních úprav tiskových forem dle dané tiskové techniky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 nebo c) u kompetence Orientace v normách a platných technologických postupech výroby tiskových forem lze s ohledem na technické a technologické podmínky autorizované osoby ověřovat,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vybrané variantě b) nebo c) u kompetence Orientace v normách a platných technologických postupech výroby tiskových forem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