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62EB79" Type="http://schemas.openxmlformats.org/officeDocument/2006/relationships/officeDocument" Target="/word/document.xml" /><Relationship Id="coreR5162EB79" Type="http://schemas.openxmlformats.org/package/2006/relationships/metadata/core-properties" Target="/docProps/core.xml" /><Relationship Id="customR5162EB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velkoformátových digitálních tiskových strojů (kód: 34-034-H)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velkoformátových digitálních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velkoformátových digitálních tiskových strojích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velkoformátových digitálních tiskových strojích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 a inkoustů na velkoformátových digitálních tiskových strojích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seřízení velkoformátových digitálních tiskových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velkoformátových digitálních tiskových strojích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Dokončení tisku, předání zakázky na velkoformátových digitálních tiskových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Kontrola, údržba a čištění velkoformátových digitálních tiskových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velkoformátových digitálních tiskových strojů,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vykonávání pracovních činností této profesní kvalifikace je vyžadována a prokazuje se lékařským potvrzením s ohledem na 2. stupeň zátěže (odkaz na povolání v NSP – https://www.nsp.cz/jednotka-prace/operator-velkoformatovych#zdravotni-zpusobilost),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a pravidel BOZP a PO v jejím průběhu.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velkoformátových digitálních tiskových strojů,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Mediacore,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Dataline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Sprint servis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velkoformátových digitálních tiskových strojů, 11.9.2026 18:32:00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