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C2F997" Type="http://schemas.openxmlformats.org/officeDocument/2006/relationships/officeDocument" Target="/word/document.xml" /><Relationship Id="coreR12C2F997" Type="http://schemas.openxmlformats.org/package/2006/relationships/metadata/core-properties" Target="/docProps/core.xml" /><Relationship Id="customR12C2F9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kazetových podhledů (kód: 36-063-H)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kazetových podhledů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04.07.2023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kazetových podhledů, 29.10.2026 2:19:47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Montér suchých staveb (kód: 36-66-H/01)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suchých staveb (kód: 36-021-H)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29.10.2013 do 11.2.2023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Montér/montérka kazetových podhledů (kód: 36-063-H)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Montér/montérka půdních vestaveb (kód: 36-064-H)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Montér/montérka suchých podlah (kód: 36-065-H)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Montér/montérka suchých stěn a stropních podhledů (kód: 36-066-H)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29.1.2009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Montér suchých staveb (kód: 36-99-H/33)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29.1.2009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Montér/montérka suchých staveb (kód: 36-021-H)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29.10.2013 do 11.2.2023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Montér/montérka kazetových podhledů (kód: 36-063-H)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Montér/montérka půdních vestaveb (kód: 36-064-H)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Montér/montérka suchých podlah (kód: 36-065-H)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Montér/montérka suchých stěn a stropních podhledů (kód: 36-066-H)</w:t>
      </w:r>
    </w:p>
    <w:p>
      <w:pPr>
        <w:pStyle w:val="P6"/>
        <w:framePr w:w="10710" w:h="113" w:hRule="exact" w:wrap="none" w:vAnchor="page" w:hAnchor="margin" w:x="28" w:y="91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4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8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8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1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62"/>
        <w:rPr>
          <w:rStyle w:val="C18"/>
          <w:rtl w:val="0"/>
        </w:rPr>
      </w:pPr>
      <w:r>
        <w:rPr>
          <w:rStyle w:val="C18"/>
          <w:rtl w:val="0"/>
        </w:rPr>
        <w:t>Montér kazetových podhledů</w:t>
      </w:r>
    </w:p>
    <w:p>
      <w:pPr>
        <w:pStyle w:val="P20"/>
        <w:framePr w:w="5338" w:h="376" w:hRule="exact" w:wrap="none" w:vAnchor="page" w:hAnchor="margin" w:x="5383" w:y="101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62"/>
        <w:rPr>
          <w:rStyle w:val="C19"/>
          <w:rtl w:val="0"/>
        </w:rPr>
      </w:pPr>
      <w:r>
        <w:rPr>
          <w:rStyle w:val="C19"/>
          <w:rtl w:val="0"/>
        </w:rPr>
        <w:t>Montér suchých staveb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kazetových podhledů, 29.10.2026 2:19:47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