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59B89" Type="http://schemas.openxmlformats.org/officeDocument/2006/relationships/officeDocument" Target="/word/document.xml" /><Relationship Id="coreR30859B89" Type="http://schemas.openxmlformats.org/package/2006/relationships/metadata/core-properties" Target="/docProps/core.xml" /><Relationship Id="customR30859B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provádění prací při ražení vertikálních důlních děl, nárazišť, větrních a dopravních kanálů nebo jejich rozšiřování na nově projektovaný profil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bezpečných postupů práce jím řízené pracovní skupiny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prací dle technologického postupu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zařízení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rubání a ražení, 29.10.2026 2:22:11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předákem může být jen ten, kdo má potřebnou odbornou praxi a složil zkoušku z odborných znalostí a z příslušných předpisů k zajištění bezpečnosti práce a provozu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 pro vedení důlních děl musí mít nejméně tříletou odbornou praxi při vedení důlních děl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15, § 19 odst. 2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rubání a ražení, 29.10.2026 2:22:11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rubání a ražení, 29.10.2026 2:22:11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