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3F9E44" Type="http://schemas.openxmlformats.org/officeDocument/2006/relationships/officeDocument" Target="/word/document.xml" /><Relationship Id="coreR663F9E44" Type="http://schemas.openxmlformats.org/package/2006/relationships/metadata/core-properties" Target="/docProps/core.xml" /><Relationship Id="customR663F9E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bezpečných postupů práce jím řízené pracovní skupiny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Informování o závadách a nebezpečných situacích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povinností předáka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0:00:18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293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oborných způsobilostech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 technických, bezpečnostních a organizačních záležitostí s technickým dozorem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Informování o závadách a nebezpečných situacích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a zadá uchazeči jednu z modelových situací.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 platí tyto požadavky: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předákem může být jen ten, kdo má potřebnou odbornou praxi a složil zkoušku z odborných znalostí a z příslušných předpisů k zajištění bezpečnosti práce a provozu podle vyhlášky č. 22/1989 Sb.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předák pro vedení důlních děl musí mít nejméně tříletou odbornou praxi při vedení důlních děl podle vyhlášky č. 22/1989 Sb.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0:00:18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0:00:18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9E3F5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