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8AFBBF" Type="http://schemas.openxmlformats.org/officeDocument/2006/relationships/officeDocument" Target="/word/document.xml" /><Relationship Id="coreR398AFBBF" Type="http://schemas.openxmlformats.org/package/2006/relationships/metadata/core-properties" Target="/docProps/core.xml" /><Relationship Id="customR398AFB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Obsluha dobývacího stroje v porubu včetně provádění směnové údržby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dobývací stroje (kombajn, pluh) a ostatní vybavení porubu a vysvětlit jejich funkci, včetně ovládání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dobývacím strojem a k jeho běžné údržbě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komunikaci a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Předvést ovládání dobývacího stroje (kombajnu, pluhu) a ostatních strojů na pracovišti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9"/>
        <w:rPr>
          <w:rStyle w:val="C18"/>
          <w:rtl w:val="0"/>
        </w:rPr>
      </w:pPr>
      <w:r>
        <w:rPr>
          <w:rStyle w:val="C18"/>
          <w:rtl w:val="0"/>
        </w:rPr>
        <w:t>Obsluha razicího stroje pro ražení důlních děl, včetně provádění směnové údržby</w:t>
      </w:r>
    </w:p>
    <w:p>
      <w:pPr>
        <w:pStyle w:val="P24"/>
        <w:framePr w:w="6713" w:h="376" w:hRule="exact" w:wrap="none" w:vAnchor="page" w:hAnchor="margin" w:x="45" w:y="79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a) Popsat a předvést ovládání a provoz razicího kombajnu a razicího komplexu a vysvětlit jejich funkci, včetně ovládání</w:t>
      </w:r>
    </w:p>
    <w:p>
      <w:pPr>
        <w:pStyle w:val="P28"/>
        <w:framePr w:w="3921" w:h="607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razicím strojem a k jeho běžné údržbě</w:t>
      </w:r>
    </w:p>
    <w:p>
      <w:pPr>
        <w:pStyle w:val="P28"/>
        <w:framePr w:w="3921" w:h="831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0"/>
        <w:rPr>
          <w:rStyle w:val="C13"/>
          <w:rtl w:val="0"/>
        </w:rPr>
      </w:pPr>
      <w:r>
        <w:rPr>
          <w:rStyle w:val="C13"/>
          <w:rtl w:val="0"/>
        </w:rPr>
        <w:t>d) Předvést komunikaci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vrtacího vozu a nakládacího zařízení pro ražení důlních děl včetně provádění směnové údržby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předvést obsluhu vrtacího vozu a nakládacího zařízení a vysvětlit jejich funkci, včetně ovládání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vrtacím vozem a nakládacím zařízením a k jejich běžné údržbě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komunikaci včetně zvukové a světelné signalizace se členy osádky při obsluze a při provádění údržby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02"/>
        <w:rPr>
          <w:rStyle w:val="C18"/>
          <w:rtl w:val="0"/>
        </w:rPr>
      </w:pPr>
      <w:r>
        <w:rPr>
          <w:rStyle w:val="C18"/>
          <w:rtl w:val="0"/>
        </w:rPr>
        <w:t>Indikace důlních větrů</w:t>
      </w:r>
    </w:p>
    <w:p>
      <w:pPr>
        <w:pStyle w:val="P24"/>
        <w:framePr w:w="6713" w:h="376" w:hRule="exact" w:wrap="none" w:vAnchor="page" w:hAnchor="margin" w:x="45" w:y="7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73"/>
        <w:rPr>
          <w:rStyle w:val="C11"/>
          <w:rtl w:val="0"/>
        </w:rPr>
      </w:pPr>
      <w:r>
        <w:rPr>
          <w:rStyle w:val="C11"/>
          <w:rtl w:val="0"/>
        </w:rPr>
        <w:t>a) Popsat složení důlního ovzduší, vlastnosti plynů a jejich nebezpečí, měřicí přístroje a způsob měření</w:t>
      </w:r>
    </w:p>
    <w:p>
      <w:pPr>
        <w:pStyle w:val="P28"/>
        <w:framePr w:w="3921" w:h="607" w:hRule="exact" w:wrap="none" w:vAnchor="page" w:hAnchor="margin" w:x="6800" w:y="7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0"/>
        <w:rPr>
          <w:rStyle w:val="C13"/>
          <w:rtl w:val="0"/>
        </w:rPr>
      </w:pPr>
      <w:r>
        <w:rPr>
          <w:rStyle w:val="C13"/>
          <w:rtl w:val="0"/>
        </w:rPr>
        <w:t>b) Určit vhodný přenosný přístroj pro měření zadaného plynu, provést měření a určit další postup po zjištění naměřené hodnoty</w:t>
      </w:r>
    </w:p>
    <w:p>
      <w:pPr>
        <w:pStyle w:val="P30"/>
        <w:framePr w:w="3921" w:h="607" w:hRule="exact" w:wrap="none" w:vAnchor="page" w:hAnchor="margin" w:x="6800" w:y="8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7"/>
        <w:rPr>
          <w:rStyle w:val="C11"/>
          <w:rtl w:val="0"/>
        </w:rPr>
      </w:pPr>
      <w:r>
        <w:rPr>
          <w:rStyle w:val="C11"/>
          <w:rtl w:val="0"/>
        </w:rPr>
        <w:t>c) Zvolit umístění stacionárního měřicího zařízení důlních větrů a důlních plynů</w:t>
      </w:r>
    </w:p>
    <w:p>
      <w:pPr>
        <w:pStyle w:val="P28"/>
        <w:framePr w:w="3921" w:h="607" w:hRule="exact" w:wrap="none" w:vAnchor="page" w:hAnchor="margin" w:x="6800" w:y="8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87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10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58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chodu zařízení, doplňování provozních kapalin a provedených úkonech běžné údržby</w:t>
      </w:r>
    </w:p>
    <w:p>
      <w:pPr>
        <w:pStyle w:val="P28"/>
        <w:framePr w:w="3921" w:h="607" w:hRule="exact" w:wrap="none" w:vAnchor="page" w:hAnchor="margin" w:x="6800" w:y="106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65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poruchách a opravách zařízení</w:t>
      </w:r>
    </w:p>
    <w:p>
      <w:pPr>
        <w:pStyle w:val="P30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365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řízení, obsluhy a běžné údržby strojů a zařízení</w:t>
      </w:r>
    </w:p>
    <w:p>
      <w:pPr>
        <w:pStyle w:val="P24"/>
        <w:framePr w:w="6713" w:h="376" w:hRule="exact" w:wrap="none" w:vAnchor="page" w:hAnchor="margin" w:x="45" w:y="130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338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444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v technických, bezpečnostních, provozních předpisech, v dokumentaci obsluhovaných strojních zařízení relevantní informace, stanovující závazná pravidla pro obsluhu, řízení a údržbu obsluhovaných zařízení</w:t>
      </w:r>
    </w:p>
    <w:p>
      <w:pPr>
        <w:pStyle w:val="P28"/>
        <w:framePr w:w="3921" w:h="1055" w:hRule="exact" w:wrap="none" w:vAnchor="page" w:hAnchor="margin" w:x="6800" w:y="1338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4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5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 provádění prací při likvidaci anomálních stavů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důlní otřes, průtrž hornin a plynů, zával, zápar, průval vod a další anomální jevy v podzemí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rizika stavů po průtržích, důlních otřesech, ujetí průvodních hornin a po ostatních anomálních geomechanických vlivech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Určit podle technologického postupu a bezpečnostních pokynů pořadí a způsob správného provedení jednotlivých operací a činností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843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důlní pracoviště vybavené dobývacím a razicím strojem 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(dobývací stroje, razicí stroje, rubání, čelby, těžní a výdušné třídy)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nářadí a nástrojů, osobní ochranné pracovní prostředky a ostatní potřebné náležitosti k provádění zadané operace s dobývacím a razicím strojem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realizaci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svého materiálně-technického vybavení dokládající soulad s požadavky uvedenými v hodnoticím standardu pro účely zkoušky. Pokud žadatel bude při zkouškách využívat materiálně-technické vybavení jiného subjektu, přiloží k žádosti o udělení nebo prodloužení platnosti autorizace smlouvu (popřípadě smlouvy) umožňující jeho užívání po dobu platnosti autorizace.</w:t>
      </w:r>
    </w:p>
    <w:p>
      <w:pPr>
        <w:pStyle w:val="P33"/>
        <w:framePr w:w="10766" w:h="1847" w:hRule="exact" w:wrap="none" w:vAnchor="page" w:hAnchor="margin" w:x="0" w:y="66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3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D4108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746B06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A5F28F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82F721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