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4BE97" Type="http://schemas.openxmlformats.org/officeDocument/2006/relationships/officeDocument" Target="/word/document.xml" /><Relationship Id="coreR30A4BE97" Type="http://schemas.openxmlformats.org/package/2006/relationships/metadata/core-properties" Target="/docProps/core.xml" /><Relationship Id="customR30A4BE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malé zemědělské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malé zemědělské mechanizace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Evidování technických dat o průběhu a výsledcích práce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motorových vozidel v rozsahu řidičského oprávnění skupin T, B</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Svařování elektrickým obloukem (v rozsahu osnov ZK 111 W 01 nebo ZK 135 W 01), svařování plamenem a řezání kyslíkem (v rozsahu osnovy ZK 311 W 01)</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malé zemědělské mechanizace, 30.4.2026 16:29:41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30.4.2026 16:29:41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30.4.2026 16:29:41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vysvětlení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vysvětlení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vysvětlení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s ústním vysvětlením</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30.4.2026 16:29:41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547" w:hRule="exact" w:wrap="none" w:vAnchor="page" w:hAnchor="margin" w:x="28" w:y="1144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Slovní nebo písemné zhodnocení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Slovní vyjádření nebo písemný návrh</w:t>
      </w:r>
    </w:p>
    <w:p>
      <w:pPr>
        <w:pStyle w:val="P32"/>
        <w:framePr w:w="10710" w:h="248" w:hRule="exact" w:wrap="none" w:vAnchor="page" w:hAnchor="margin" w:x="28" w:y="137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30.4.2026 16:29:41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teoretickým zdůvodněním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Evidování technických dat o průběhu a výsledcích práce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na určených formulářích se slovním vysvětlením</w:t>
      </w:r>
    </w:p>
    <w:p>
      <w:pPr>
        <w:pStyle w:val="P32"/>
        <w:framePr w:w="10710" w:h="248" w:hRule="exact" w:wrap="none" w:vAnchor="page" w:hAnchor="margin" w:x="28" w:y="8004"/>
        <w:rPr>
          <w:rStyle w:val="C23"/>
          <w:rtl w:val="0"/>
        </w:rPr>
      </w:pPr>
      <w:r>
        <w:rPr>
          <w:rStyle w:val="C23"/>
          <w:rtl w:val="0"/>
        </w:rPr>
        <w:t>Je třeba splnit uvedené kritérium.</w:t>
      </w:r>
    </w:p>
    <w:p>
      <w:pPr>
        <w:pStyle w:val="P23"/>
        <w:framePr w:w="10710" w:h="340" w:hRule="exact" w:wrap="none" w:vAnchor="page" w:hAnchor="margin" w:x="28" w:y="8439"/>
        <w:rPr>
          <w:rStyle w:val="C18"/>
          <w:rtl w:val="0"/>
        </w:rPr>
      </w:pPr>
      <w:r>
        <w:rPr>
          <w:rStyle w:val="C18"/>
          <w:rtl w:val="0"/>
        </w:rPr>
        <w:t>Řízení motorových vozidel v rozsahu řidičského oprávnění skupin T, 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a) Zkoušený se prokáže řidičským oprávněním příslušné skupiny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10199"/>
        <w:rPr>
          <w:rStyle w:val="C23"/>
          <w:rtl w:val="0"/>
        </w:rPr>
      </w:pPr>
      <w:r>
        <w:rPr>
          <w:rStyle w:val="C23"/>
          <w:rtl w:val="0"/>
        </w:rPr>
        <w:t>Je třeba splnit dané kritérium.</w:t>
      </w:r>
    </w:p>
    <w:p>
      <w:pPr>
        <w:pStyle w:val="P23"/>
        <w:framePr w:w="10710" w:h="547" w:hRule="exact" w:wrap="none" w:vAnchor="page" w:hAnchor="margin" w:x="28" w:y="10635"/>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Zkoušený se prokáže předepsaným oprávněním pro svařování</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12602"/>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malé zemědělské mechanizace, 30.4.2026 16:29:41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malé zemědělské mechanizace, 30.4.2026 16:29:41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2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malou zemědělskou mechanizaci</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malé zemědělské mechanizace, 30.4.2026 16:29:41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malé zemědělské mechanizace, 30.4.2026 16:29:41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malé zemědělské mechanizace, 30.4.2026 16:29:41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