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AD1C11" Type="http://schemas.openxmlformats.org/officeDocument/2006/relationships/officeDocument" Target="/word/document.xml" /><Relationship Id="coreR52AD1C11" Type="http://schemas.openxmlformats.org/package/2006/relationships/metadata/core-properties" Target="/docProps/core.xml" /><Relationship Id="customR52AD1C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těžby ropy a zemního plynu (kód: 21-026-M)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na těžebním středisku ropy a zemního plynu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technické a výkresové dokumentaci pro těžbu a úpravu ropy a zemního plynu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související báňské legislativě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9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Stanovení technologických postupů těžby a úpravy ropy a zemního plynu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provozní dokumentace pro těžbu a úpravu ropy a zemního plynu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9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557"/>
        <w:rPr>
          <w:rStyle w:val="C14"/>
          <w:rtl w:val="0"/>
        </w:rPr>
      </w:pPr>
      <w:r>
        <w:rPr>
          <w:rStyle w:val="C14"/>
          <w:rtl w:val="0"/>
        </w:rPr>
        <w:t>Údržba a oprava technologického zařízení pro těžbu ropy a zemního plynu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Výpočet těžebních ukazatelů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13.6.2026 6:58:44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636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"https://www.nsp.cz/jednotka-prace/bansky-technik-pro-povrch"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https://www.nsp.cz/jednotka-prace/bansky-technik-pro-povrch#zdravotni-zpusobilost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13.6.2026 6:58:44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13.6.2026 6:58:44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