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9A0D8" Type="http://schemas.openxmlformats.org/officeDocument/2006/relationships/officeDocument" Target="/word/document.xml" /><Relationship Id="coreRA89A0D8" Type="http://schemas.openxmlformats.org/package/2006/relationships/metadata/core-properties" Target="/docProps/core.xml" /><Relationship Id="customRA89A0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29.10.2026 10:52:51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https://nsp.cz/jednotka-prace/stanicni-pracovnik-lanove#zdravotni-zpusobilost).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informaci o druhu a typu osobní lanové dráhy, na které bude probíhat praktické ověření jednotlivých kritérií. 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kompetencí Orientace v předpisech a technických normách, Organizace nástupu, přepravy a výstupu, Poskytování první zdravotnické pomoci, Orientace v dokumentaci a normách elektrotechnických a elektronických zapojení, rozvodů a zařízení se provádí prostřednictvím písemného testu.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110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každou oblast 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výstupu18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29.10.2026 10:52:51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29.10.2026 10:52:51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