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5BD171" Type="http://schemas.openxmlformats.org/officeDocument/2006/relationships/officeDocument" Target="/word/document.xml" /><Relationship Id="coreR565BD171" Type="http://schemas.openxmlformats.org/package/2006/relationships/metadata/core-properties" Target="/docProps/core.xml" /><Relationship Id="customR565BD17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cestovní kanceláře – specialista/specialistka pro incoming (kód: 65-034-M)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cestovní kanceláře – specialista/specialistka pro incoming, 11.9.2026 18:29:02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Cestovní ruch (kód: 65-42-M/02)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Pracovník/pracovnice cestovní kanceláře – specialista/specialistka pro incoming (kód: 65-034-M)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Pracovník/pracovnice turistického informačního centra (kód: 65-027-M)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Průvodce/průvodkyně cestovního ruchu (kód: 65-021-N)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Samostatný pracovník / samostatná pracovnice cestovní kanceláře a cestovní agentury (kód: 65-032-N)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7.7.2022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Specialista pro cestovní ruch (kód: 65-99-M/06)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Pracovník/pracovnice cestovní kanceláře – specialista/specialistka pro incoming (kód: 65-034-M)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Pracovník/pracovnice turistického informačního centra (kód: 65-027-M)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Průvodce/průvodkyně cestovního ruchu (kód: 65-021-N)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Samostatný pracovník / samostatná pracovnice cestovní kanceláře a cestovní agentury (kód: 65-032-N)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cestovní kanceláře – specialista/specialistka pro incoming, 11.9.2026 18:29:02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