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56A37" Type="http://schemas.openxmlformats.org/officeDocument/2006/relationships/officeDocument" Target="/word/document.xml" /><Relationship Id="coreR1E256A37" Type="http://schemas.openxmlformats.org/package/2006/relationships/metadata/core-properties" Target="/docProps/core.xml" /><Relationship Id="customR1E256A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kovárny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kovárenských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předpisů BOZP a hygieny práce v řízeném úseku kovárenské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technologického úseku kovárenské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a motivování zaměstnanců, zajišťování komunikace mezi zaměstnanci a vedením kovárenského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podkladů pro odměňování pracovníků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a standardech jakosti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29.10.2026 2:21:40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 (odkaz na povolání v NSP - https://www.nsp.cz/jednotka-prace/mistr-kovarny#zdravotni-zpusobilost).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skládat z části ústní a praktické. Praktická část zkoušky zaměřená na BOZP, krizové řízení (při poruchách v zásobování s energiemi, při logistických problémech) a zajištění provozní spolehlivosti strojů a zařízení se uskuteční v konkrétním kovárenském provozu. Prakticky budou ověřována kritéria spojená s čtením výkresové dokumentace, vyplňováním výkazů o výrobě, docházky zaměstnanců, BOZP a hlášení pracovního úrazu a posouzením postupů v nakládání s odpady a kontrolou dodržování zásad BOZP.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29.10.2026 2:21:40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29.10.2026 2:21:40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