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FBCB5" Type="http://schemas.openxmlformats.org/officeDocument/2006/relationships/officeDocument" Target="/word/document.xml" /><Relationship Id="coreR226FBCB5" Type="http://schemas.openxmlformats.org/package/2006/relationships/metadata/core-properties" Target="/docProps/core.xml" /><Relationship Id="customR226FB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programově řízených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brousicích, lešticích, řezacích, tryskacích, opalovacích automatů a linek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kompetence Volba postupu práce a technologických podmínek při opracování kamene,u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D2B3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