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71BE42" Type="http://schemas.openxmlformats.org/officeDocument/2006/relationships/officeDocument" Target="/word/document.xml" /><Relationship Id="coreR2D71BE42" Type="http://schemas.openxmlformats.org/package/2006/relationships/metadata/core-properties" Target="/docProps/core.xml" /><Relationship Id="customR2D71BE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11.06.2022 do: 20.10.2022</w:t>
      </w:r>
    </w:p>
    <w:p>
      <w:pPr>
        <w:pStyle w:val="P21"/>
        <w:framePr w:w="7654" w:h="331" w:hRule="exact" w:wrap="none" w:vAnchor="page" w:hAnchor="margin" w:x="28" w:y="15940"/>
        <w:rPr>
          <w:rStyle w:val="C16"/>
          <w:rtl w:val="0"/>
        </w:rPr>
      </w:pPr>
      <w:r>
        <w:rPr>
          <w:rStyle w:val="C16"/>
          <w:rtl w:val="0"/>
        </w:rPr>
        <w:t>Seřizovač vstřikovacích lisů pro zpracování plastů, 28.4.2026 23:08:59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28.4.2026 23:08:59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28.4.2026 23:08:59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28.4.2026 23:08:59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28.4.2026 23:08:59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28.4.2026 23:08:59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28.4.2026 23:08:59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5A4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EBE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