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4CBFC" Type="http://schemas.openxmlformats.org/officeDocument/2006/relationships/officeDocument" Target="/word/document.xml" /><Relationship Id="coreR53D4CBFC" Type="http://schemas.openxmlformats.org/package/2006/relationships/metadata/core-properties" Target="/docProps/core.xml" /><Relationship Id="customR53D4CB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30.08.2023 do: 22.12.2025</w:t>
      </w:r>
    </w:p>
    <w:p>
      <w:pPr>
        <w:pStyle w:val="P21"/>
        <w:framePr w:w="7654" w:h="331" w:hRule="exact" w:wrap="none" w:vAnchor="page" w:hAnchor="margin" w:x="28" w:y="15940"/>
        <w:rPr>
          <w:rStyle w:val="C16"/>
          <w:rtl w:val="0"/>
        </w:rPr>
      </w:pPr>
      <w:r>
        <w:rPr>
          <w:rStyle w:val="C16"/>
          <w:rtl w:val="0"/>
        </w:rPr>
        <w:t>Zpracovatel/zpracovatelka včelích produktů, 27.10.2026 2:45:02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včelích produktů, 27.10.2026 2:45:02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"https://www.nsp.cz/jednotka-prace/zpracovatel-vcelich-produ"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https://www.nsp.cz/jednotka-prace/zpracovatel-vcelich-produ#zdravotni-zpusobilost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včelích produktů, 27.10.2026 2:45:02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včelích produktů, 27.10.2026 2:45:02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Zpracovatel/zpracovatelka včelích produktů, 27.10.2026 2:45:02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Zpracovatel/zpracovatelka včelích produktů, 27.10.2026 2:45:02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52F6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9528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351B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