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92EECB" Type="http://schemas.openxmlformats.org/officeDocument/2006/relationships/officeDocument" Target="/word/document.xml" /><Relationship Id="coreR892EECB" Type="http://schemas.openxmlformats.org/package/2006/relationships/metadata/core-properties" Target="/docProps/core.xml" /><Relationship Id="customR892EE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18:36:22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SOU včelařské – Včelařské vzdělávací centrum, o.p.s., Nasavrky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Slatiňanská 135, 53825 Nasavrky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hospodářská a lesnická, Frýdlant, Bělíkova 1387,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Bělíkova 1387, 46401 Frýdlant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18:36:22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