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D31215" Type="http://schemas.openxmlformats.org/officeDocument/2006/relationships/officeDocument" Target="/word/document.xml" /><Relationship Id="coreR7BD31215" Type="http://schemas.openxmlformats.org/package/2006/relationships/metadata/core-properties" Target="/docProps/core.xml" /><Relationship Id="customR7BD312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požadavků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Konstrukce vzorů méně náročných galanterních výrobků a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rozvádění šablon pro výrobu obuvnických a galanterních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designu pro nové, méně náročné modely a vzory galanterních výrobků a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typizovaných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méně náročných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27.10.2026 4:14:12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http://katalog.nsp.cz/karta_tp.aspx?id_jp=6285).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kožedělné výroby.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úkonů. Bude sledována celková kvalita vypracování a provedení.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jeden z jednodušších galanterních výrobků (etue, pouzdro, kosmetická taška, obal na tablet, obal na notebook, opasek, klíčenka, peněženka), nebo 1 z jednodušších druhů obuvi (pantofle, nazouváky, baleríny, domácí obuv).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méně náročných galanterních výrobků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počet předloženého materiálu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méně náročných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27.10.2026 4:14:12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27.10.2026 4:14:12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