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7D984" Type="http://schemas.openxmlformats.org/officeDocument/2006/relationships/officeDocument" Target="/word/document.xml" /><Relationship Id="coreR5457D984" Type="http://schemas.openxmlformats.org/package/2006/relationships/metadata/core-properties" Target="/docProps/core.xml" /><Relationship Id="customR5457D9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obalovaných dílců pro výrobu nábytku na vakuovém lisu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obalovaných dílců a profilů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výrobu obalovaných dílců a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při výrobě obalovaných nábytkových dílců a profilů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vakuového lisu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při výrobě obalovaných nábytkových dílců a profilů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28.10.2026 22:19:28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by mělo být pokud možno spojeno v navazující činnosti vedoucí ke zhotovení dvou výrobků za použití různých druhů nosného materiálů (MDF desky, DTD desky, masivní dřevo) a různých druhů obalovacího materiálu (fólie, dýha) s využitím běžně používaných technologických postupů a při dodržování standardně dovolených tolerancí.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příprava a kontrola polotovarů, dílců a komponentů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se zařízením nanášejícím lepidla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vakuového lisu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se zařízením nebo nástroji na odstranění přesahujícího obalovacího materiálu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28.10.2026 22:19:28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28.10.2026 22:19:28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