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F7A61B5" Type="http://schemas.openxmlformats.org/officeDocument/2006/relationships/officeDocument" Target="/word/document.xml" /><Relationship Id="coreR5F7A61B5" Type="http://schemas.openxmlformats.org/package/2006/relationships/metadata/core-properties" Target="/docProps/core.xml" /><Relationship Id="customR5F7A61B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Strojník sklářských zařízení pro rafinační linky (kód: 28-045-H)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Strojník sklářských zařízení pro rafinační linky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a výtvarných podkladech pro výrobu a zpracování skla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automatických a poloautomatických strojů rafinační linky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Seřizování, údržba zařízení, strojů a pomůcek na rafinačních linkách ve sklářství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a dodržování technologických postupů na rafinačních linkách ve sklářství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15.08.2013 do: 20.10.2019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 sklářských zařízení pro rafinační linky, 29.10.2026 0:02:44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1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http://katalog.nsp.cz/karta_p.aspx?id_jp=102051&amp;kod_sm1=35).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kompetence je třeba získat celkový přehled o způsobilosti uchazeče vykonávat povolání určitého úseku sklářské výroby. Při ověřování kritérií formou praktického předvedení je třeba přihlížet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 sklářských zařízení pro rafinační linky, 29.10.2026 0:02:44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připravila SR pro sklo, keramiku a zpracování minerálů, ustavená a licencovaná pro tuto činnost HK ČR a SP ČR.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Crystalex CZ,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VETROPACK MORAVIA GLASS, akciová společnost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KAVALIERGLASS,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Vyšší odborná škola sklářská a Střední škola, Nový Bor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sklářského a keramického průmyslu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 sklářských zařízení pro rafinační linky, 29.10.2026 0:02:44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