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45ACC" Type="http://schemas.openxmlformats.org/officeDocument/2006/relationships/officeDocument" Target="/word/document.xml" /><Relationship Id="coreR62745ACC" Type="http://schemas.openxmlformats.org/package/2006/relationships/metadata/core-properties" Target="/docProps/core.xml" /><Relationship Id="customR62745A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rafinační linky, kritérium d) způsob kontroly nastavení rafinačního zařízení,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rafinační linky, 29.10.2026 2:36:53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