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C21ADF8" Type="http://schemas.openxmlformats.org/officeDocument/2006/relationships/officeDocument" Target="/word/document.xml" /><Relationship Id="coreR7C21ADF8" Type="http://schemas.openxmlformats.org/package/2006/relationships/metadata/core-properties" Target="/docProps/core.xml" /><Relationship Id="customR7C21ADF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Strojník sklářských zařízení pro lisovací linky (kód: 28-044-H)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Strojník sklářských zařízení pro lisovací linky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a výtvarných podkladech pro výrobu a zpracování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automatických a poloautomatických strojů lisovací linky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Seřizování, údržba zařízení, strojů a pomůcek pro výrobu skla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a dodržování technologických postupů ve sklářství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15.08.2013 do: 20.10.2019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 sklářských zařízení pro lisovací linky, 11.9.2026 19:33:55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87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http://katalog.nsp.cz/karta_tp.aspx?id_jp=102049&amp;kod_sm1=35).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kompetence je třeba získat celkový přehled o způsobilosti uchazeče vykonávat povolání určitého úseku sklářské výroby. Při ověřování kritérií formou praktického předvedení je třeba přihlížet k bezpečnému provádění všech úkonů a ke kvalitě zhotoveného produktu.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 sklářských zařízení pro lisovací linky, 11.9.2026 19:33:55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sklo, keramiku a zpracování minerálů,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Crystalex CZ,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VETROPACK MORAVIA GLASS, akciová společnost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KAVALIERGLASS,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Vyšší odborná škola sklářská a Střední škola, Nový Bor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sklářského a keramického průmyslu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 sklářských zařízení pro lisovací linky, 11.9.2026 19:33:55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