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7772BF6" Type="http://schemas.openxmlformats.org/officeDocument/2006/relationships/officeDocument" Target="/word/document.xml" /><Relationship Id="coreR57772BF6" Type="http://schemas.openxmlformats.org/package/2006/relationships/metadata/core-properties" Target="/docProps/core.xml" /><Relationship Id="customR57772BF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 sklářských zařízení pro lisovací linky (kód: 28-044-H)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Strojník sklářských zařízení pro lisovací linky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automatických a poloautomatických strojů lisovací linky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Seřizování, údržba zařízení, strojů a pomůcek pro výrobu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a dodržování technologických postupů ve sklářství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21.08.2019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sklářských zařízení pro lisovací linky, 11.9.2026 19:34:17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3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https://nsp.cz/jednotka-prace/strojnik-sklarskych-zariz-d081#zdravotni-zpusobilost).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uchazeče vykonávat povolání určitého úseku sklářské výroby. Při ověřování kritérií formou praktického předvedení je třeba přihlížet k bezpečnému provádění všech úkonů a ke kvalitě zhotoveného produktu.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určí u odborné kompetence Obsluha automatických a poloautomatických strojů lisovací linky, kritérium d) způsob kontroly a rozsah prací při výměně formy, formových dílů, podle zaměření konkrétní sklářské výroby a místa konaní zkoušky.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sklářských zařízení pro lisovací linky, 11.9.2026 19:34:17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Crystalex CZ,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KAVALIERGLASS,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škola, Nový Bor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sklářského a keramického průmyslu,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sklářských zařízení pro lisovací linky, 11.9.2026 19:34:17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