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8A9367" Type="http://schemas.openxmlformats.org/officeDocument/2006/relationships/officeDocument" Target="/word/document.xml" /><Relationship Id="coreR358A9367" Type="http://schemas.openxmlformats.org/package/2006/relationships/metadata/core-properties" Target="/docProps/core.xml" /><Relationship Id="customR358A93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sklářských zařízení pro lisovací linky (kód: 28-044-H)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lisovací linky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automatických a poloautomatických strojů lisovací linky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údržba zařízení, strojů a pomůcek pro výrobu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dodržování technologických postupů ve sklářství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lisovací linky, 27.10.2026 1:28:29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https://nsp.cz/jednotka-prace/strojnik-sklarskych-zariz-d081#zdravotni-zpusobilost).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určitého úseku sklářské výroby. Při ověřování kritérií formou praktického předvedení je třeba přihlížet k bezpečnému provádění všech úkonů a ke kvalitě zhotoveného produktu.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u odborné kompetence Obsluha automatických a poloautomatických strojů lisovací linky, kritérium d) způsob kontroly a rozsah prací při výměně formy, formových dílů, podle zaměření konkrétní sklářské výroby a místa konaní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lisovací linky, 27.10.2026 1:28:29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KAVALIERGLASS,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průmyslu,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lisovací linky, 27.10.2026 1:28:29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