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1A1F8" Type="http://schemas.openxmlformats.org/officeDocument/2006/relationships/officeDocument" Target="/word/document.xml" /><Relationship Id="coreR121A1F8" Type="http://schemas.openxmlformats.org/package/2006/relationships/metadata/core-properties" Target="/docProps/core.xml" /><Relationship Id="customR121A1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 sklářských zařízení pro lisofoukací linky (kód: 28-043-H)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lisofoukací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automatických a poloautomatických strojů lisofoukací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údržba zařízení, strojů a pomůcek pro výrobu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dodržování technologických postupů ve sklářství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lisofoukací linky, 11.9.2026 18:34:18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https://nsp.cz/jednotka-prace/strojnik-sklarskych-zariz-dc57#zdravotni-zpusobilost).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sklářské výroby. Při ověřování kritérií formou praktického předvedení je třeba přihlížet k bezpečnému provádění všech úkonů a ke kvalitě zhotoveného produktu.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u odborné kompetence Obsluha automatických a poloautomatických strojů losofoukací linky, kritérium d) způsob kontroly a rozsah prací při výměně formy, formových dílů a foukací hlavy, podle zaměření konkrétní sklářské výroby a místa konaní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lisofoukací linky, 11.9.2026 18:34:18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KAVALIERGLASS,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průmyslu,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lisofoukací linky, 11.9.2026 18:34:18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