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6F9C00" Type="http://schemas.openxmlformats.org/officeDocument/2006/relationships/officeDocument" Target="/word/document.xml" /><Relationship Id="coreR676F9C00" Type="http://schemas.openxmlformats.org/package/2006/relationships/metadata/core-properties" Target="/docProps/core.xml" /><Relationship Id="customR676F9C0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 sklářských zařízení pro foukací linky (kód: 28-041-H)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foukací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automatických a poloautomatických strojů foukací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údržba zařízení, strojů a pomůcek pro výrobu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ve sklářství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foukací linky, 11.9.2026 18:40:15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je pro vykonávání pracovních činností této profesní kvalifikace vyžadována a prokazuje se lékařským potvrzením (odkaz na povolání v NSP - https://nsp.cz/jednotka-prace/strojnik-sklarskych-zariz-dcc1#zdravotni-zpusobilost).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určitého úseku sklářské výroby. Při ověřování kritérií formou praktického předvedení je třeba přihlížet k bezpečnému provádění všech úkonů a ke kvalitě zhotoveného produktu.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u odborné kompetence Obsluha automatických a poloautomatických strojů foukací linky, kritérium d), způsob kontroly a rozsah prací při výměně formy, formových dílů a foukací hlavy, podle zaměření konkrétní sklářské výroby a místa konaní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foukací linky, 11.9.2026 18:40:15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KAVALIERGLASS,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průmyslu,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foukací linky, 11.9.2026 18:40:15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