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7DE30" Type="http://schemas.openxmlformats.org/officeDocument/2006/relationships/officeDocument" Target="/word/document.xml" /><Relationship Id="coreR12D7DE30" Type="http://schemas.openxmlformats.org/package/2006/relationships/metadata/core-properties" Target="/docProps/core.xml" /><Relationship Id="customR12D7DE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Provozní zámečník, 29.4.2026 0:23:56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jejích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Písemné ověření s ústní obhajobou</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Písemné ověření s ústní obhajobou</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s ústním vysvětlením</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Písemné ověření s ústní obhajobou</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29.4.2026 0:23:56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29.4.2026 0:23:56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Řezání, stříhání, sekání a probíjení materiálů, plechů a profilů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Pilování ploch</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29.4.2026 0:23:56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29.4.2026 0:23:56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29.4.2026 0:23:56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29.4.2026 0:23:56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pStyle w:val="P21"/>
        <w:framePr w:w="7654" w:h="331" w:hRule="exact" w:wrap="none" w:vAnchor="page" w:hAnchor="margin" w:x="28" w:y="15940"/>
        <w:rPr>
          <w:rStyle w:val="C16"/>
          <w:rtl w:val="0"/>
        </w:rPr>
      </w:pPr>
      <w:r>
        <w:rPr>
          <w:rStyle w:val="C16"/>
          <w:rtl w:val="0"/>
        </w:rPr>
        <w:t>Provozní zámečník, 29.4.2026 0:23:56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