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AC17B" Type="http://schemas.openxmlformats.org/officeDocument/2006/relationships/officeDocument" Target="/word/document.xml" /><Relationship Id="coreR5A7AC17B" Type="http://schemas.openxmlformats.org/package/2006/relationships/metadata/core-properties" Target="/docProps/core.xml" /><Relationship Id="customR5A7AC1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koupelen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831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Vypracování dispozičního a barevného řešení a grafická vizualizace návrhu realizace nebo rekonstrukce koupelny, wellness a sociálního zařízení a dalších prostor vybavených keramickými skleněnými a kamennými obklady</w:t>
      </w:r>
    </w:p>
    <w:p>
      <w:pPr>
        <w:pStyle w:val="P14"/>
        <w:framePr w:w="805" w:h="831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Komunikace se zákazníkem a péče o zákazníka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0"/>
        <w:rPr>
          <w:rStyle w:val="C15"/>
          <w:rtl w:val="0"/>
        </w:rPr>
      </w:pPr>
      <w:r>
        <w:rPr>
          <w:rStyle w:val="C15"/>
          <w:rtl w:val="0"/>
        </w:rPr>
        <w:t>Standard je platný od: 14.08.2013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http://katalog.nsp.cz/karta_p.aspx?id_jp=102403&amp;kod_sm1=35).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Microsoft Office, obsahující textový editor WORD, tabulkový procesor Excel a Power Point, běžný vizualizační SW, připojení na internet.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je část zkoušky provést přímo v koupelnovém studiu nebo mít dostatečné množství odpovídajících fyzických vzorků.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Designškola, s. r. o ‒ Ing. Barbara Venter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 ‒ Ing. Alena Machátová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 Olomouc, s. r. o. ‒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Conculting Services ‒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