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0B470" Type="http://schemas.openxmlformats.org/officeDocument/2006/relationships/officeDocument" Target="/word/document.xml" /><Relationship Id="coreR6140B470" Type="http://schemas.openxmlformats.org/package/2006/relationships/metadata/core-properties" Target="/docProps/core.xml" /><Relationship Id="customR6140B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 obhajobou</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 obhajobou</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s ústní obhajobou</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s ústní obhajobou</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s ústní obhajobou</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s ústní obhajobou</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s ústní obhajobou</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s ústní obhajobou</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s ústní obhajobou</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s ústní obhajobou</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ohledem na vznik nebezpečného odpadu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finálnímu povrchovému dokončení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příslušného brusiva a opravných prostředků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tmelením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povrchové úpravy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odborných předmětů nebo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dělník pro přípravu nábytkových povrchů + střední vzdělání s maturitní zkouškou a alespoň 5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 dýhované desky nebo dílce z masivního dřeva a MDF desky s drobnými povrchovými vadami, s různým stupněm dokončení a s různými defekty v povrchové úpravě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broušení a opravu dílců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stůl s dostatečným osvětlením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Opravné prostředky (tmely, vosky, opravné laky, brusné a lešticí pasty)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Obalový materiál</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pro přípravu nábytkových povrchů, 28.10.2026 23:10:58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