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350D2ED" Type="http://schemas.openxmlformats.org/officeDocument/2006/relationships/officeDocument" Target="/word/document.xml" /><Relationship Id="coreR1350D2ED" Type="http://schemas.openxmlformats.org/package/2006/relationships/metadata/core-properties" Target="/docProps/core.xml" /><Relationship Id="customR1350D2E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výroby koster pro čalouněný nábytek (kód: 33-036-H)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koster pro čalouněný nábytek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pro zhotovování koster pro čalouněný nábytek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materiálů, polotovarů a dílců pro výrobu kostry pro čalouněný nábytek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Úprava standardních dílců pro výrobu atypické kostry pro čalouněný nábytek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Montáž kostry pro čalouněný nábytek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Montáž funkčních mechanismů do kostry pro čalouněný nábytek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kostry pro čalouněný nábytek a její předání na další pracoviště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Nakládání s odpadem z truhlářské výroby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05.08.2013 do: 05.04.2019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výroby koster pro čalouněný nábytek, 29.10.2026 0:49:45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2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kritérií by mělo být pokud možno spojeno v navazující činnosti vedoucí ke zhotovení dvou typů výrobků za použití různých druhů materiálů (dřevotřískové a dřevovláknité desky, překližka, laťovka, masivní dřevo) s využitím běžně používaných technologických postupů a při dodržování standardně dovolených tolerancí.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se doporučuje zaměřit se zejména na tyto činnosti: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práce s výrobní dokumentací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příprava a kontrola polotovarů, dílců a komponentů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kontrola a seřízení ručního nářadí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práce s ručním nářadím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předmontáž podsestav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montáž výrobku z připravených dílců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montáž kování, komponentů a mechanismů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výrobku. Pokud ze strany uchazeče nebudou při ověřování kompetencí dodržovány zásady BOZP, ohodnotí zkoušející danou kompetenci, při níž došlo k porušení zásad BOZP, výsledkem „nesplnil“.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výroby koster pro čalouněný nábytek, 29.10.2026 0:49:45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NADOP – VÝROBA NÁBYTKU, a. s.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Dřevotvar Jablonné nad Orlicí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výroby koster pro čalouněný nábytek, 29.10.2026 0:49:45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