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D2176C" Type="http://schemas.openxmlformats.org/officeDocument/2006/relationships/officeDocument" Target="/word/document.xml" /><Relationship Id="coreR5ED2176C" Type="http://schemas.openxmlformats.org/package/2006/relationships/metadata/core-properties" Target="/docProps/core.xml" /><Relationship Id="customR5ED217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koster pro čalouněný nábytek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materiálů, polotovarů a dílců pro výrobu kostry pro čalouněný nábytek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standardních dílců pro výrobu atypické kostry pro čalouněný nábytek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kostry pro čalouněný nábytek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funkčních mechanismů do kostry pro čalouněný nábytek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kostry pro čalouněný nábytek a její předání na další pracoviště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koster pro čalouněný nábytek, 29.10.2026 3:19:29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https://www.nsp.cz/jednotka-prace/pracovnik-vyroby-koster-p#zdravotni-zpusobilost).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ke zhotovení koster pro 2 typy čalouněného nábytku (područka sedačky, sedačka s rozkládacím mechanismem) za použití různých druhů materiálů (dřevotřískové a dřevovláknité desky, překližka, laťovka, masivní dřevo) s využitím běžně používaných technologických postupů a při dodržování standardně dovolených tolerancí.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přípravu a kontrolu polotovarů, dílců a komponentů, kontrolu a seřízení ručního nářadí, práci s ručním nářadím, předmontáž podsestav, montáž výrobku z připravených dílců, montáž kování, komponentů a mechanismů.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koster pro čalouněný nábytek, 29.10.2026 3:19:30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koster pro čalouněný nábytek, 29.10.2026 3:19:30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